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4" w:type="dxa"/>
        <w:jc w:val="center"/>
        <w:tblCellMar>
          <w:top w:w="15" w:type="dxa"/>
          <w:left w:w="15" w:type="dxa"/>
          <w:bottom w:w="15" w:type="dxa"/>
          <w:right w:w="15" w:type="dxa"/>
        </w:tblCellMar>
        <w:tblLook w:val="04A0" w:firstRow="1" w:lastRow="0" w:firstColumn="1" w:lastColumn="0" w:noHBand="0" w:noVBand="1"/>
      </w:tblPr>
      <w:tblGrid>
        <w:gridCol w:w="489"/>
        <w:gridCol w:w="3717"/>
        <w:gridCol w:w="1163"/>
        <w:gridCol w:w="2292"/>
        <w:gridCol w:w="1190"/>
        <w:gridCol w:w="1883"/>
      </w:tblGrid>
      <w:tr w:rsidR="00BD0ABB" w:rsidRPr="00A23503" w:rsidTr="00EE7C00">
        <w:trPr>
          <w:jc w:val="center"/>
        </w:trPr>
        <w:tc>
          <w:tcPr>
            <w:tcW w:w="10734" w:type="dxa"/>
            <w:gridSpan w:val="6"/>
            <w:tcBorders>
              <w:top w:val="nil"/>
              <w:left w:val="nil"/>
              <w:bottom w:val="nil"/>
              <w:right w:val="nil"/>
            </w:tcBorders>
            <w:tcMar>
              <w:top w:w="15" w:type="dxa"/>
              <w:left w:w="45" w:type="dxa"/>
              <w:bottom w:w="15" w:type="dxa"/>
              <w:right w:w="45" w:type="dxa"/>
            </w:tcMar>
            <w:hideMark/>
          </w:tcPr>
          <w:p w:rsidR="00BD0ABB" w:rsidRPr="00A23503" w:rsidRDefault="00BD0ABB" w:rsidP="00EE7C00">
            <w:pPr>
              <w:jc w:val="right"/>
              <w:rPr>
                <w:sz w:val="20"/>
              </w:rPr>
            </w:pPr>
            <w:r w:rsidRPr="00A23503">
              <w:rPr>
                <w:sz w:val="20"/>
              </w:rPr>
              <w:t>”</w:t>
            </w:r>
            <w:r>
              <w:rPr>
                <w:sz w:val="20"/>
                <w:lang w:val="ru-RU"/>
              </w:rPr>
              <w:t xml:space="preserve">Приложение № </w:t>
            </w:r>
            <w:r w:rsidRPr="00A23503">
              <w:rPr>
                <w:sz w:val="20"/>
              </w:rPr>
              <w:t xml:space="preserve">1 </w:t>
            </w:r>
          </w:p>
          <w:p w:rsidR="00BD0ABB" w:rsidRPr="009119CA" w:rsidRDefault="00BD0ABB" w:rsidP="00EE7C00">
            <w:pPr>
              <w:pStyle w:val="rg"/>
              <w:rPr>
                <w:sz w:val="20"/>
                <w:szCs w:val="20"/>
                <w:lang w:val="ru-RU"/>
              </w:rPr>
            </w:pPr>
            <w:r>
              <w:rPr>
                <w:sz w:val="20"/>
                <w:lang w:val="ru-RU"/>
              </w:rPr>
              <w:t xml:space="preserve">к Положению </w:t>
            </w:r>
            <w:r w:rsidRPr="009119CA">
              <w:rPr>
                <w:sz w:val="20"/>
                <w:szCs w:val="20"/>
                <w:lang w:val="ru-RU"/>
              </w:rPr>
              <w:t xml:space="preserve">о маржах платежеспособности </w:t>
            </w:r>
          </w:p>
          <w:p w:rsidR="00BD0ABB" w:rsidRPr="009119CA" w:rsidRDefault="00BD0ABB" w:rsidP="00EE7C00">
            <w:pPr>
              <w:pStyle w:val="rg"/>
              <w:rPr>
                <w:sz w:val="20"/>
                <w:szCs w:val="20"/>
                <w:lang w:val="ru-RU"/>
              </w:rPr>
            </w:pPr>
            <w:r w:rsidRPr="009119CA">
              <w:rPr>
                <w:sz w:val="20"/>
                <w:szCs w:val="20"/>
                <w:lang w:val="ru-RU"/>
              </w:rPr>
              <w:t xml:space="preserve">страховщика (перестраховщика), утвержденного </w:t>
            </w:r>
          </w:p>
          <w:p w:rsidR="00BD0ABB" w:rsidRPr="009119CA" w:rsidRDefault="00BD0ABB" w:rsidP="00EE7C00">
            <w:pPr>
              <w:pStyle w:val="rg"/>
              <w:rPr>
                <w:sz w:val="20"/>
                <w:szCs w:val="20"/>
                <w:lang w:val="ru-RU"/>
              </w:rPr>
            </w:pPr>
            <w:r w:rsidRPr="009119CA">
              <w:rPr>
                <w:sz w:val="20"/>
                <w:szCs w:val="20"/>
                <w:lang w:val="ru-RU"/>
              </w:rPr>
              <w:t xml:space="preserve">Постановлением Национальной комиссии </w:t>
            </w:r>
          </w:p>
          <w:p w:rsidR="00BD0ABB" w:rsidRPr="009119CA" w:rsidRDefault="00BD0ABB" w:rsidP="00EE7C00">
            <w:pPr>
              <w:pStyle w:val="rg"/>
              <w:rPr>
                <w:sz w:val="20"/>
                <w:szCs w:val="20"/>
                <w:lang w:val="ru-RU"/>
              </w:rPr>
            </w:pPr>
            <w:r w:rsidRPr="009119CA">
              <w:rPr>
                <w:sz w:val="20"/>
                <w:szCs w:val="20"/>
                <w:lang w:val="ru-RU"/>
              </w:rPr>
              <w:t xml:space="preserve">по финансовому рынку </w:t>
            </w:r>
          </w:p>
          <w:p w:rsidR="00BD0ABB" w:rsidRPr="001603AE" w:rsidRDefault="00BD0ABB" w:rsidP="00EE7C00">
            <w:pPr>
              <w:pStyle w:val="rg"/>
              <w:rPr>
                <w:sz w:val="20"/>
                <w:szCs w:val="20"/>
                <w:lang w:val="ru-RU"/>
              </w:rPr>
            </w:pPr>
            <w:r w:rsidRPr="009119CA">
              <w:rPr>
                <w:sz w:val="20"/>
                <w:szCs w:val="20"/>
                <w:lang w:val="ru-RU"/>
              </w:rPr>
              <w:t>№ 2/1 от 21 января 2011</w:t>
            </w:r>
            <w:r>
              <w:rPr>
                <w:sz w:val="20"/>
                <w:szCs w:val="20"/>
                <w:lang w:val="ru-RU"/>
              </w:rPr>
              <w:t xml:space="preserve"> г.</w:t>
            </w:r>
          </w:p>
          <w:p w:rsidR="00BD0ABB" w:rsidRPr="00A23503" w:rsidRDefault="00BD0ABB" w:rsidP="00EE7C00">
            <w:pPr>
              <w:jc w:val="right"/>
              <w:rPr>
                <w:sz w:val="20"/>
              </w:rPr>
            </w:pPr>
            <w:r>
              <w:rPr>
                <w:rFonts w:ascii="Tahoma" w:hAnsi="Tahoma" w:cs="Tahoma"/>
                <w:sz w:val="18"/>
                <w:szCs w:val="18"/>
              </w:rPr>
              <w:br/>
            </w:r>
          </w:p>
          <w:p w:rsidR="00BD0ABB" w:rsidRPr="00A23503" w:rsidRDefault="00BD0ABB" w:rsidP="00EE7C00">
            <w:pPr>
              <w:ind w:firstLine="567"/>
              <w:jc w:val="both"/>
              <w:rPr>
                <w:sz w:val="20"/>
              </w:rPr>
            </w:pPr>
            <w:r w:rsidRPr="00A23503">
              <w:rPr>
                <w:sz w:val="20"/>
              </w:rPr>
              <w:t xml:space="preserve">  </w:t>
            </w:r>
          </w:p>
          <w:p w:rsidR="00BD0ABB" w:rsidRDefault="00BD0ABB" w:rsidP="00EE7C00">
            <w:pPr>
              <w:pStyle w:val="cb"/>
            </w:pPr>
            <w:r>
              <w:t xml:space="preserve">ФОРМА A – Активы </w:t>
            </w:r>
          </w:p>
          <w:p w:rsidR="00BD0ABB" w:rsidRPr="00CE651C" w:rsidRDefault="00BD0ABB" w:rsidP="00EE7C00">
            <w:pPr>
              <w:pStyle w:val="NormalWeb"/>
              <w:jc w:val="center"/>
              <w:rPr>
                <w:b/>
                <w:lang w:val="ru-RU"/>
              </w:rPr>
            </w:pPr>
            <w:r w:rsidRPr="00CE651C">
              <w:rPr>
                <w:b/>
                <w:lang w:val="ru-RU"/>
              </w:rPr>
              <w:t>Отчет о размере активов страховщика (перестраховщика</w:t>
            </w:r>
            <w:r w:rsidRPr="00B346BE">
              <w:rPr>
                <w:b/>
                <w:lang w:val="ru-RU"/>
              </w:rPr>
              <w:t>)/страховой компании</w:t>
            </w:r>
          </w:p>
          <w:p w:rsidR="00BD0ABB" w:rsidRDefault="00BD0ABB" w:rsidP="00EE7C00">
            <w:pPr>
              <w:pStyle w:val="cb"/>
            </w:pPr>
            <w:r>
              <w:t xml:space="preserve">на дату _________________________________ </w:t>
            </w:r>
          </w:p>
          <w:p w:rsidR="00BD0ABB" w:rsidRPr="009119CA" w:rsidRDefault="00BD0ABB" w:rsidP="00EE7C00">
            <w:pPr>
              <w:pStyle w:val="NormalWeb"/>
              <w:rPr>
                <w:lang w:val="ru-RU"/>
              </w:rPr>
            </w:pPr>
            <w:r>
              <w:t> </w:t>
            </w:r>
          </w:p>
          <w:p w:rsidR="00BD0ABB" w:rsidRPr="009119CA" w:rsidRDefault="00BD0ABB" w:rsidP="00EE7C00">
            <w:pPr>
              <w:pStyle w:val="NormalWeb"/>
              <w:rPr>
                <w:lang w:val="ru-RU"/>
              </w:rPr>
            </w:pPr>
            <w:r w:rsidRPr="009119CA">
              <w:rPr>
                <w:lang w:val="ru-RU"/>
              </w:rPr>
              <w:t>Наименование страховщика (перестраховщика)</w:t>
            </w:r>
            <w:r>
              <w:rPr>
                <w:lang w:val="ru-RU"/>
              </w:rPr>
              <w:t>/страховой компании</w:t>
            </w:r>
            <w:r w:rsidRPr="009119CA">
              <w:rPr>
                <w:lang w:val="ru-RU"/>
              </w:rPr>
              <w:t xml:space="preserve">: ____________________ </w:t>
            </w:r>
          </w:p>
          <w:p w:rsidR="00BD0ABB" w:rsidRDefault="00BD0ABB" w:rsidP="00EE7C00">
            <w:pPr>
              <w:pStyle w:val="NormalWeb"/>
            </w:pPr>
            <w:proofErr w:type="spellStart"/>
            <w:r>
              <w:t>Код</w:t>
            </w:r>
            <w:proofErr w:type="spellEnd"/>
            <w:r>
              <w:t xml:space="preserve"> IDNO ______________________________________________________ </w:t>
            </w:r>
          </w:p>
          <w:p w:rsidR="00BD0ABB" w:rsidRPr="00A23503" w:rsidRDefault="00BD0ABB" w:rsidP="00EE7C00">
            <w:pPr>
              <w:ind w:firstLine="567"/>
              <w:jc w:val="both"/>
              <w:rPr>
                <w:sz w:val="20"/>
              </w:rPr>
            </w:pPr>
            <w:r w:rsidRPr="00A23503">
              <w:rPr>
                <w:sz w:val="20"/>
              </w:rPr>
              <w:t xml:space="preserve"> </w:t>
            </w:r>
          </w:p>
          <w:p w:rsidR="00BD0ABB" w:rsidRPr="00A23503" w:rsidRDefault="00BD0ABB" w:rsidP="00EE7C00">
            <w:pPr>
              <w:ind w:firstLine="567"/>
              <w:jc w:val="both"/>
              <w:rPr>
                <w:sz w:val="20"/>
              </w:rPr>
            </w:pPr>
            <w:r w:rsidRPr="00A23503">
              <w:rPr>
                <w:sz w:val="20"/>
              </w:rPr>
              <w:t> </w:t>
            </w:r>
          </w:p>
        </w:tc>
      </w:tr>
      <w:tr w:rsidR="00BD0ABB" w:rsidRPr="00A23503" w:rsidTr="00EE7C00">
        <w:trPr>
          <w:jc w:val="center"/>
        </w:trPr>
        <w:tc>
          <w:tcPr>
            <w:tcW w:w="50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Pr>
                <w:b/>
                <w:bCs/>
                <w:sz w:val="20"/>
                <w:lang w:val="ru-RU"/>
              </w:rPr>
              <w:t>№</w:t>
            </w:r>
          </w:p>
        </w:tc>
        <w:tc>
          <w:tcPr>
            <w:tcW w:w="361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Pr>
                <w:b/>
                <w:bCs/>
                <w:sz w:val="20"/>
                <w:lang w:val="ru-RU"/>
              </w:rPr>
              <w:t>Категории активов</w:t>
            </w:r>
          </w:p>
        </w:tc>
        <w:tc>
          <w:tcPr>
            <w:tcW w:w="11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Pr>
                <w:b/>
                <w:bCs/>
                <w:sz w:val="20"/>
                <w:lang w:val="ru-RU"/>
              </w:rPr>
              <w:t>Стоимость, леев</w:t>
            </w:r>
          </w:p>
        </w:tc>
        <w:tc>
          <w:tcPr>
            <w:tcW w:w="356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Pr>
                <w:b/>
                <w:bCs/>
                <w:sz w:val="20"/>
                <w:lang w:val="ru-RU"/>
              </w:rPr>
              <w:t>Фонды страхователей</w:t>
            </w:r>
          </w:p>
        </w:tc>
        <w:tc>
          <w:tcPr>
            <w:tcW w:w="187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Pr>
                <w:b/>
                <w:bCs/>
                <w:sz w:val="20"/>
                <w:lang w:val="ru-RU"/>
              </w:rPr>
              <w:t>Фонды страховщика</w:t>
            </w:r>
            <w:r w:rsidRPr="00A23503">
              <w:rPr>
                <w:b/>
                <w:bCs/>
                <w:sz w:val="20"/>
              </w:rPr>
              <w:t xml:space="preserve"> (</w:t>
            </w:r>
            <w:r>
              <w:rPr>
                <w:b/>
                <w:bCs/>
                <w:sz w:val="20"/>
                <w:lang w:val="ru-RU"/>
              </w:rPr>
              <w:t>перестраховщика</w:t>
            </w:r>
            <w:r w:rsidRPr="00A23503">
              <w:rPr>
                <w:b/>
                <w:bCs/>
                <w:sz w:val="20"/>
              </w:rPr>
              <w:t>),</w:t>
            </w:r>
          </w:p>
          <w:p w:rsidR="00BD0ABB" w:rsidRPr="00A23503" w:rsidRDefault="00BD0ABB" w:rsidP="00EE7C00">
            <w:pPr>
              <w:jc w:val="center"/>
              <w:rPr>
                <w:b/>
                <w:bCs/>
                <w:sz w:val="20"/>
              </w:rPr>
            </w:pPr>
            <w:r>
              <w:rPr>
                <w:b/>
                <w:bCs/>
                <w:sz w:val="20"/>
                <w:lang w:val="ru-RU"/>
              </w:rPr>
              <w:t>леев</w:t>
            </w:r>
            <w:r w:rsidRPr="00A23503">
              <w:rPr>
                <w:b/>
                <w:bCs/>
                <w:sz w:val="20"/>
              </w:rPr>
              <w:t xml:space="preserve"> </w:t>
            </w:r>
          </w:p>
        </w:tc>
      </w:tr>
      <w:tr w:rsidR="00BD0ABB" w:rsidRPr="00A23503" w:rsidTr="00EE7C0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ABB" w:rsidRPr="00A23503" w:rsidRDefault="00BD0ABB" w:rsidP="00EE7C00">
            <w:pPr>
              <w:rPr>
                <w:b/>
                <w:bCs/>
                <w:sz w:val="20"/>
              </w:rPr>
            </w:pPr>
          </w:p>
        </w:tc>
        <w:tc>
          <w:tcPr>
            <w:tcW w:w="3619" w:type="dxa"/>
            <w:vMerge/>
            <w:tcBorders>
              <w:top w:val="single" w:sz="6" w:space="0" w:color="000000"/>
              <w:left w:val="single" w:sz="6" w:space="0" w:color="000000"/>
              <w:bottom w:val="single" w:sz="6" w:space="0" w:color="000000"/>
              <w:right w:val="single" w:sz="6" w:space="0" w:color="000000"/>
            </w:tcBorders>
            <w:vAlign w:val="center"/>
            <w:hideMark/>
          </w:tcPr>
          <w:p w:rsidR="00BD0ABB" w:rsidRPr="00A23503" w:rsidRDefault="00BD0ABB" w:rsidP="00EE7C00">
            <w:pPr>
              <w:rPr>
                <w:b/>
                <w:bCs/>
                <w:sz w:val="20"/>
              </w:rPr>
            </w:pPr>
          </w:p>
        </w:tc>
        <w:tc>
          <w:tcPr>
            <w:tcW w:w="1174" w:type="dxa"/>
            <w:vMerge/>
            <w:tcBorders>
              <w:top w:val="single" w:sz="6" w:space="0" w:color="000000"/>
              <w:left w:val="single" w:sz="6" w:space="0" w:color="000000"/>
              <w:bottom w:val="single" w:sz="6" w:space="0" w:color="000000"/>
              <w:right w:val="single" w:sz="6" w:space="0" w:color="000000"/>
            </w:tcBorders>
            <w:vAlign w:val="center"/>
            <w:hideMark/>
          </w:tcPr>
          <w:p w:rsidR="00BD0ABB" w:rsidRPr="00A23503" w:rsidRDefault="00BD0ABB" w:rsidP="00EE7C00">
            <w:pPr>
              <w:rPr>
                <w:b/>
                <w:bCs/>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Pr>
                <w:b/>
                <w:bCs/>
                <w:sz w:val="20"/>
                <w:lang w:val="ru-RU"/>
              </w:rPr>
              <w:t>Принципы диверсификации (распределения</w:t>
            </w:r>
            <w:r w:rsidRPr="00A23503">
              <w:rPr>
                <w:b/>
                <w:bCs/>
                <w:sz w:val="20"/>
              </w:rPr>
              <w:t>)</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Pr>
                <w:b/>
                <w:bCs/>
                <w:sz w:val="20"/>
                <w:lang w:val="ru-RU"/>
              </w:rPr>
              <w:t xml:space="preserve">Допустимая стоимость, леев </w:t>
            </w:r>
          </w:p>
          <w:p w:rsidR="00BD0ABB" w:rsidRPr="00A23503" w:rsidRDefault="00BD0ABB" w:rsidP="00EE7C00">
            <w:pPr>
              <w:jc w:val="center"/>
              <w:rPr>
                <w:b/>
                <w:bCs/>
                <w:sz w:val="20"/>
              </w:rPr>
            </w:pPr>
          </w:p>
        </w:tc>
        <w:tc>
          <w:tcPr>
            <w:tcW w:w="1874" w:type="dxa"/>
            <w:vMerge/>
            <w:tcBorders>
              <w:top w:val="single" w:sz="6" w:space="0" w:color="000000"/>
              <w:left w:val="single" w:sz="6" w:space="0" w:color="000000"/>
              <w:bottom w:val="single" w:sz="6" w:space="0" w:color="000000"/>
              <w:right w:val="single" w:sz="6" w:space="0" w:color="000000"/>
            </w:tcBorders>
            <w:vAlign w:val="center"/>
            <w:hideMark/>
          </w:tcPr>
          <w:p w:rsidR="00BD0ABB" w:rsidRPr="00A23503" w:rsidRDefault="00BD0ABB" w:rsidP="00EE7C00">
            <w:pPr>
              <w:rPr>
                <w:b/>
                <w:bCs/>
                <w:sz w:val="20"/>
              </w:rPr>
            </w:pP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sidRPr="00A23503">
              <w:rPr>
                <w:b/>
                <w:bCs/>
                <w:sz w:val="20"/>
              </w:rPr>
              <w:t>A</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sidRPr="00A23503">
              <w:rPr>
                <w:b/>
                <w:bCs/>
                <w:sz w:val="20"/>
              </w:rPr>
              <w:t>(1)</w:t>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sidRPr="00A23503">
              <w:rPr>
                <w:b/>
                <w:bCs/>
                <w:sz w:val="20"/>
              </w:rPr>
              <w:t>(2)</w:t>
            </w: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sidRPr="00A23503">
              <w:rPr>
                <w:b/>
                <w:bCs/>
                <w:sz w:val="20"/>
              </w:rPr>
              <w:t>(3)</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sidRPr="00A23503">
              <w:rPr>
                <w:b/>
                <w:bCs/>
                <w:sz w:val="20"/>
              </w:rPr>
              <w:t>(4)</w:t>
            </w: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b/>
                <w:bCs/>
                <w:sz w:val="20"/>
              </w:rPr>
            </w:pPr>
            <w:r w:rsidRPr="00A23503">
              <w:rPr>
                <w:b/>
                <w:bCs/>
                <w:sz w:val="20"/>
              </w:rPr>
              <w:t>(5)=(2)-(4)</w:t>
            </w: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b/>
                <w:bCs/>
                <w:sz w:val="20"/>
              </w:rPr>
              <w:t>1</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631E8" w:rsidRDefault="00BD0ABB" w:rsidP="00EE7C00">
            <w:pPr>
              <w:rPr>
                <w:b/>
                <w:sz w:val="20"/>
                <w:lang w:val="ru-RU"/>
              </w:rPr>
            </w:pPr>
            <w:r w:rsidRPr="002631E8">
              <w:rPr>
                <w:b/>
                <w:bCs/>
                <w:sz w:val="20"/>
              </w:rPr>
              <w:t>Активы, принимаемые в покрытие фондов страхователей (всего стр.1.1+1.2+1.3+1.4+1.5+1.6+1.7+1.8+1.9</w:t>
            </w:r>
            <w:r w:rsidRPr="002631E8">
              <w:rPr>
                <w:b/>
                <w:bCs/>
                <w:sz w:val="20"/>
                <w:lang w:val="ru-RU"/>
              </w:rPr>
              <w:t>)</w:t>
            </w:r>
            <w:r w:rsidRPr="002631E8">
              <w:rPr>
                <w:b/>
                <w:bCs/>
                <w:sz w:val="20"/>
              </w:rPr>
              <w:t>, в том числе:</w:t>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631E8"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631E8" w:rsidRDefault="00BD0ABB" w:rsidP="00EE7C00">
            <w:pPr>
              <w:jc w:val="center"/>
              <w:rPr>
                <w:b/>
                <w:bCs/>
                <w:sz w:val="20"/>
              </w:rPr>
            </w:pPr>
            <w:r w:rsidRPr="002631E8">
              <w:rPr>
                <w:b/>
                <w:bCs/>
                <w:sz w:val="20"/>
              </w:rPr>
              <w:t>X</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t>1.1</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631E8" w:rsidRDefault="00BD0ABB" w:rsidP="00EE7C00">
            <w:pPr>
              <w:rPr>
                <w:sz w:val="20"/>
              </w:rPr>
            </w:pPr>
            <w:r w:rsidRPr="002631E8">
              <w:rPr>
                <w:sz w:val="20"/>
                <w:lang w:val="ru-RU"/>
              </w:rPr>
              <w:t>ц</w:t>
            </w:r>
            <w:r w:rsidRPr="002631E8">
              <w:rPr>
                <w:sz w:val="20"/>
              </w:rPr>
              <w:t>енные бумаги, выпущенные Правительством Республики Молдова или другим государственным органом</w:t>
            </w:r>
          </w:p>
          <w:p w:rsidR="00BD0ABB" w:rsidRPr="002631E8" w:rsidRDefault="00BD0ABB" w:rsidP="00EE7C00">
            <w:pPr>
              <w:rPr>
                <w:sz w:val="20"/>
              </w:rPr>
            </w:pP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631E8"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631E8" w:rsidRDefault="00BD0ABB" w:rsidP="00EE7C00">
            <w:pPr>
              <w:rPr>
                <w:sz w:val="20"/>
                <w:lang w:val="ru-RU"/>
              </w:rPr>
            </w:pPr>
            <w:r w:rsidRPr="002631E8">
              <w:rPr>
                <w:sz w:val="20"/>
              </w:rPr>
              <w:t>в неограниченном объеме, в пределах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 при условии соблюдения коэффициента ликвидности установленного в п.25 настоящего Положения</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t>1.2</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631E8" w:rsidRDefault="00BD0ABB" w:rsidP="00EE7C00">
            <w:pPr>
              <w:rPr>
                <w:sz w:val="20"/>
              </w:rPr>
            </w:pPr>
            <w:r>
              <w:rPr>
                <w:sz w:val="20"/>
                <w:lang w:val="ru-RU"/>
              </w:rPr>
              <w:t>ц</w:t>
            </w:r>
            <w:r w:rsidRPr="002631E8">
              <w:rPr>
                <w:sz w:val="20"/>
              </w:rPr>
              <w:t>енные бумаги, выпущенные правительством, центральным банком иного государства или международной финансовой организацией</w:t>
            </w:r>
          </w:p>
          <w:p w:rsidR="00BD0ABB" w:rsidRPr="002631E8" w:rsidRDefault="00BD0ABB" w:rsidP="00EE7C00">
            <w:pPr>
              <w:rPr>
                <w:sz w:val="20"/>
              </w:rPr>
            </w:pPr>
            <w:r w:rsidRPr="002631E8">
              <w:rPr>
                <w:rFonts w:ascii="Tahoma" w:hAnsi="Tahoma" w:cs="Tahoma"/>
                <w:sz w:val="20"/>
              </w:rPr>
              <w:br/>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631E8"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631E8" w:rsidRDefault="00BD0ABB" w:rsidP="00EE7C00">
            <w:pPr>
              <w:rPr>
                <w:sz w:val="20"/>
                <w:lang w:val="ru-RU"/>
              </w:rPr>
            </w:pPr>
            <w:r w:rsidRPr="002631E8">
              <w:rPr>
                <w:sz w:val="20"/>
              </w:rPr>
              <w:t>не более 5% в случае одного и того же эмитента и не более 20% в общем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t>1.3</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8"/>
                <w:szCs w:val="28"/>
              </w:rPr>
            </w:pPr>
            <w:r>
              <w:rPr>
                <w:sz w:val="20"/>
                <w:lang w:val="ru-RU"/>
              </w:rPr>
              <w:t xml:space="preserve">акции эмитентов, допущенных на регулируемый рынок и в рамках многосторонней торговой системы, которые соответствуют </w:t>
            </w:r>
            <w:proofErr w:type="gramStart"/>
            <w:r>
              <w:rPr>
                <w:sz w:val="20"/>
                <w:lang w:val="ru-RU"/>
              </w:rPr>
              <w:t>требованиям</w:t>
            </w:r>
            <w:proofErr w:type="gramEnd"/>
            <w:r>
              <w:rPr>
                <w:sz w:val="20"/>
                <w:lang w:val="ru-RU"/>
              </w:rPr>
              <w:t xml:space="preserve"> предусмотренным в п</w:t>
            </w:r>
            <w:r w:rsidRPr="00A23503">
              <w:rPr>
                <w:sz w:val="20"/>
              </w:rPr>
              <w:t xml:space="preserve">.16 </w:t>
            </w:r>
            <w:proofErr w:type="spellStart"/>
            <w:r>
              <w:rPr>
                <w:sz w:val="20"/>
                <w:lang w:val="ru-RU"/>
              </w:rPr>
              <w:t>пп</w:t>
            </w:r>
            <w:proofErr w:type="spellEnd"/>
            <w:r w:rsidRPr="00A23503">
              <w:rPr>
                <w:sz w:val="20"/>
              </w:rPr>
              <w:t xml:space="preserve">.3) </w:t>
            </w:r>
            <w:r>
              <w:rPr>
                <w:sz w:val="20"/>
                <w:lang w:val="ru-RU"/>
              </w:rPr>
              <w:t>Положения</w:t>
            </w:r>
          </w:p>
          <w:p w:rsidR="00BD0ABB" w:rsidRPr="00A23503" w:rsidRDefault="00BD0ABB" w:rsidP="00EE7C00">
            <w:pPr>
              <w:rPr>
                <w:sz w:val="20"/>
              </w:rPr>
            </w:pP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631E8" w:rsidRDefault="00BD0ABB" w:rsidP="00EE7C00">
            <w:pPr>
              <w:rPr>
                <w:sz w:val="20"/>
                <w:lang w:val="ru-RU"/>
              </w:rPr>
            </w:pPr>
            <w:r w:rsidRPr="002631E8">
              <w:rPr>
                <w:sz w:val="20"/>
              </w:rPr>
              <w:t xml:space="preserve">не более </w:t>
            </w:r>
            <w:r>
              <w:rPr>
                <w:sz w:val="20"/>
                <w:lang w:val="ru-RU"/>
              </w:rPr>
              <w:t>1</w:t>
            </w:r>
            <w:r w:rsidRPr="002631E8">
              <w:rPr>
                <w:sz w:val="20"/>
              </w:rPr>
              <w:t xml:space="preserve">5% в случае одного и того же эмитента и не более </w:t>
            </w:r>
            <w:r>
              <w:rPr>
                <w:sz w:val="20"/>
                <w:lang w:val="ru-RU"/>
              </w:rPr>
              <w:t>4</w:t>
            </w:r>
            <w:r w:rsidRPr="002631E8">
              <w:rPr>
                <w:sz w:val="20"/>
              </w:rPr>
              <w:t>0% в общем от суммарной величины технических резервов, за исключением доли перестраховщика в технических резервах, и одной трети минимальной маржи</w:t>
            </w:r>
            <w:r>
              <w:rPr>
                <w:sz w:val="20"/>
                <w:lang w:val="ru-RU"/>
              </w:rPr>
              <w:t xml:space="preserve"> платежеспособности</w:t>
            </w:r>
            <w:r w:rsidRPr="002631E8">
              <w:rPr>
                <w:sz w:val="20"/>
              </w:rPr>
              <w:t xml:space="preserve"> </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t>1.4</w:t>
            </w:r>
          </w:p>
          <w:p w:rsidR="00BD0ABB" w:rsidRPr="00A23503" w:rsidRDefault="00BD0ABB" w:rsidP="00EE7C00">
            <w:pPr>
              <w:jc w:val="center"/>
              <w:rPr>
                <w:sz w:val="20"/>
              </w:rPr>
            </w:pP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r>
              <w:rPr>
                <w:sz w:val="20"/>
                <w:lang w:val="ru-RU"/>
              </w:rPr>
              <w:lastRenderedPageBreak/>
              <w:t xml:space="preserve">облигации эмитентов, допущенных на </w:t>
            </w:r>
            <w:r>
              <w:rPr>
                <w:sz w:val="20"/>
                <w:lang w:val="ru-RU"/>
              </w:rPr>
              <w:lastRenderedPageBreak/>
              <w:t xml:space="preserve">регулируемый рынок и в рамках многосторонней торговой системы, которые соответствуют </w:t>
            </w:r>
            <w:proofErr w:type="gramStart"/>
            <w:r>
              <w:rPr>
                <w:sz w:val="20"/>
                <w:lang w:val="ru-RU"/>
              </w:rPr>
              <w:t>требованиям</w:t>
            </w:r>
            <w:proofErr w:type="gramEnd"/>
            <w:r>
              <w:rPr>
                <w:sz w:val="20"/>
                <w:lang w:val="ru-RU"/>
              </w:rPr>
              <w:t xml:space="preserve"> предусмотренным в п</w:t>
            </w:r>
            <w:r w:rsidRPr="00A23503">
              <w:rPr>
                <w:sz w:val="20"/>
              </w:rPr>
              <w:t xml:space="preserve">.16 </w:t>
            </w:r>
            <w:proofErr w:type="spellStart"/>
            <w:r>
              <w:rPr>
                <w:sz w:val="20"/>
                <w:lang w:val="ru-RU"/>
              </w:rPr>
              <w:t>пп</w:t>
            </w:r>
            <w:proofErr w:type="spellEnd"/>
            <w:r w:rsidRPr="00A23503">
              <w:rPr>
                <w:sz w:val="20"/>
              </w:rPr>
              <w:t xml:space="preserve">.3) </w:t>
            </w:r>
            <w:r>
              <w:rPr>
                <w:sz w:val="20"/>
                <w:lang w:val="ru-RU"/>
              </w:rPr>
              <w:t>Положения</w:t>
            </w:r>
            <w:r w:rsidRPr="00A23503">
              <w:rPr>
                <w:sz w:val="20"/>
              </w:rPr>
              <w:t xml:space="preserve"> </w:t>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83230B" w:rsidRDefault="00BD0ABB" w:rsidP="00EE7C00">
            <w:pPr>
              <w:rPr>
                <w:sz w:val="20"/>
                <w:lang w:val="ru-RU"/>
              </w:rPr>
            </w:pPr>
            <w:r w:rsidRPr="002631E8">
              <w:rPr>
                <w:sz w:val="20"/>
              </w:rPr>
              <w:t xml:space="preserve">не более </w:t>
            </w:r>
            <w:r>
              <w:rPr>
                <w:sz w:val="20"/>
                <w:lang w:val="ru-RU"/>
              </w:rPr>
              <w:t>1</w:t>
            </w:r>
            <w:r w:rsidRPr="002631E8">
              <w:rPr>
                <w:sz w:val="20"/>
              </w:rPr>
              <w:t xml:space="preserve">5% в случае </w:t>
            </w:r>
            <w:r w:rsidRPr="002631E8">
              <w:rPr>
                <w:sz w:val="20"/>
              </w:rPr>
              <w:lastRenderedPageBreak/>
              <w:t xml:space="preserve">одного и того же эмитента и не более </w:t>
            </w:r>
            <w:r>
              <w:rPr>
                <w:sz w:val="20"/>
                <w:lang w:val="ru-RU"/>
              </w:rPr>
              <w:t>2</w:t>
            </w:r>
            <w:r w:rsidRPr="002631E8">
              <w:rPr>
                <w:sz w:val="20"/>
              </w:rPr>
              <w:t>0% в общем от суммарной величины технических резервов, за исключением доли перестраховщика в технических резервах, и одной трети минимальной маржи</w:t>
            </w:r>
            <w:r>
              <w:rPr>
                <w:sz w:val="20"/>
                <w:lang w:val="ru-RU"/>
              </w:rPr>
              <w:t xml:space="preserve"> платежеспособности</w:t>
            </w:r>
            <w:r w:rsidRPr="002631E8">
              <w:rPr>
                <w:sz w:val="20"/>
              </w:rPr>
              <w:t xml:space="preserve"> </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lastRenderedPageBreak/>
              <w:t>1.5</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r>
              <w:rPr>
                <w:sz w:val="20"/>
                <w:lang w:val="ru-RU"/>
              </w:rPr>
              <w:t xml:space="preserve">ценные бумаги, которые не торгуются на регулируемом рынке или в рамках многосторонней торговой системы </w:t>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35363A" w:rsidRDefault="00BD0ABB" w:rsidP="00EE7C00">
            <w:pPr>
              <w:rPr>
                <w:sz w:val="20"/>
                <w:lang w:val="ru-RU"/>
              </w:rPr>
            </w:pPr>
            <w:r w:rsidRPr="002631E8">
              <w:rPr>
                <w:sz w:val="20"/>
              </w:rPr>
              <w:t xml:space="preserve">не более </w:t>
            </w:r>
            <w:r>
              <w:rPr>
                <w:sz w:val="20"/>
                <w:lang w:val="ru-RU"/>
              </w:rPr>
              <w:t>2</w:t>
            </w:r>
            <w:r w:rsidRPr="002631E8">
              <w:rPr>
                <w:sz w:val="20"/>
              </w:rPr>
              <w:t xml:space="preserve">% в случае одного и того же эмитента и не более </w:t>
            </w:r>
            <w:r>
              <w:rPr>
                <w:sz w:val="20"/>
                <w:lang w:val="ru-RU"/>
              </w:rPr>
              <w:t>5</w:t>
            </w:r>
            <w:r w:rsidRPr="002631E8">
              <w:rPr>
                <w:sz w:val="20"/>
              </w:rPr>
              <w:t>% в общем от суммарной величины технических резервов, за исключением доли перестраховщика в технических резервах, и одной трети минимальной маржи</w:t>
            </w:r>
            <w:r>
              <w:rPr>
                <w:sz w:val="20"/>
                <w:lang w:val="ru-RU"/>
              </w:rPr>
              <w:t xml:space="preserve"> платежеспособности</w:t>
            </w:r>
            <w:r w:rsidRPr="002631E8">
              <w:rPr>
                <w:sz w:val="20"/>
              </w:rPr>
              <w:t xml:space="preserve"> </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r w:rsidRPr="00A23503">
              <w:rPr>
                <w:sz w:val="20"/>
              </w:rPr>
              <w:t> </w:t>
            </w: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r w:rsidRPr="00A23503">
              <w:rPr>
                <w:sz w:val="20"/>
              </w:rPr>
              <w:t> </w:t>
            </w: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t>1.6</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r>
              <w:rPr>
                <w:sz w:val="20"/>
                <w:lang w:val="ru-RU"/>
              </w:rPr>
              <w:t>денежные средства в кассе</w:t>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E44B1A" w:rsidRDefault="00BD0ABB" w:rsidP="00EE7C00">
            <w:pPr>
              <w:rPr>
                <w:sz w:val="20"/>
                <w:lang w:val="ru-RU"/>
              </w:rPr>
            </w:pPr>
            <w:r w:rsidRPr="00E44B1A">
              <w:rPr>
                <w:sz w:val="20"/>
              </w:rPr>
              <w:t>не более 3%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E44B1A"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t>1.7</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E44B1A" w:rsidRDefault="00BD0ABB" w:rsidP="00EE7C00">
            <w:pPr>
              <w:rPr>
                <w:sz w:val="20"/>
                <w:lang w:val="ru-RU"/>
              </w:rPr>
            </w:pPr>
            <w:r>
              <w:rPr>
                <w:sz w:val="20"/>
                <w:lang w:val="ru-RU"/>
              </w:rPr>
              <w:t>д</w:t>
            </w:r>
            <w:r w:rsidRPr="00E44B1A">
              <w:rPr>
                <w:sz w:val="20"/>
              </w:rPr>
              <w:t>енежн</w:t>
            </w:r>
            <w:proofErr w:type="spellStart"/>
            <w:r w:rsidRPr="00E44B1A">
              <w:rPr>
                <w:sz w:val="20"/>
                <w:lang w:val="ru-RU"/>
              </w:rPr>
              <w:t>ые</w:t>
            </w:r>
            <w:proofErr w:type="spellEnd"/>
            <w:r w:rsidRPr="00E44B1A">
              <w:rPr>
                <w:sz w:val="20"/>
                <w:lang w:val="ru-RU"/>
              </w:rPr>
              <w:t xml:space="preserve"> средства</w:t>
            </w:r>
            <w:r w:rsidRPr="00E44B1A">
              <w:rPr>
                <w:sz w:val="20"/>
              </w:rPr>
              <w:t xml:space="preserve"> на расчетных текущих счетах в финансовых учреждениях, лицензированных Национальным банком Молдовы, в том числе в иностранной валюте</w:t>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E44B1A" w:rsidRDefault="00BD0ABB" w:rsidP="00EE7C00">
            <w:pPr>
              <w:rPr>
                <w:sz w:val="20"/>
                <w:lang w:val="ru-RU"/>
              </w:rPr>
            </w:pPr>
            <w:r w:rsidRPr="00E44B1A">
              <w:rPr>
                <w:sz w:val="20"/>
              </w:rPr>
              <w:t xml:space="preserve">не более </w:t>
            </w:r>
            <w:r>
              <w:rPr>
                <w:sz w:val="20"/>
                <w:lang w:val="ru-RU"/>
              </w:rPr>
              <w:t>10</w:t>
            </w:r>
            <w:r w:rsidRPr="00E44B1A">
              <w:rPr>
                <w:sz w:val="20"/>
              </w:rPr>
              <w:t>%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w:t>
            </w:r>
            <w:r w:rsidRPr="00A23503">
              <w:rPr>
                <w:sz w:val="20"/>
              </w:rPr>
              <w:t xml:space="preserve"> </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t>1.8</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E44B1A" w:rsidRDefault="00BD0ABB" w:rsidP="00EE7C00">
            <w:pPr>
              <w:rPr>
                <w:sz w:val="20"/>
              </w:rPr>
            </w:pPr>
            <w:r w:rsidRPr="00E44B1A">
              <w:rPr>
                <w:sz w:val="20"/>
              </w:rPr>
              <w:t>депозиты и инвестиции в финансовых учреждениях, лицензированных Национальным банком Молдовы</w:t>
            </w:r>
          </w:p>
          <w:p w:rsidR="00BD0ABB" w:rsidRPr="00A23503" w:rsidRDefault="00BD0ABB" w:rsidP="00EE7C00">
            <w:pPr>
              <w:rPr>
                <w:sz w:val="20"/>
              </w:rPr>
            </w:pPr>
            <w:r>
              <w:rPr>
                <w:rFonts w:ascii="Tahoma" w:hAnsi="Tahoma" w:cs="Tahoma"/>
                <w:sz w:val="18"/>
                <w:szCs w:val="18"/>
              </w:rPr>
              <w:br/>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C86604" w:rsidRDefault="00BD0ABB" w:rsidP="00EE7C00">
            <w:pPr>
              <w:rPr>
                <w:sz w:val="20"/>
                <w:lang w:val="ru-RU"/>
              </w:rPr>
            </w:pPr>
            <w:proofErr w:type="gramStart"/>
            <w:r w:rsidRPr="00C86604">
              <w:rPr>
                <w:sz w:val="20"/>
                <w:lang w:val="ru-RU"/>
              </w:rPr>
              <w:t xml:space="preserve">не более 20% в случае одного и того же финансового учреждения, не более 10% в случае </w:t>
            </w:r>
            <w:r>
              <w:rPr>
                <w:sz w:val="20"/>
                <w:lang w:val="ru-RU"/>
              </w:rPr>
              <w:t xml:space="preserve">того же </w:t>
            </w:r>
            <w:r w:rsidRPr="00C86604">
              <w:rPr>
                <w:sz w:val="20"/>
                <w:lang w:val="ru-RU"/>
              </w:rPr>
              <w:t>финансового учреждения к которому применяются меры по раннему вмешательству Национальным банком Молдовы из-за быстрого ухудшения финансового положения, и не более 70% в общем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w:t>
            </w:r>
            <w:proofErr w:type="gramEnd"/>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t>1.9</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011BA8" w:rsidRDefault="00BD0ABB" w:rsidP="00EE7C00">
            <w:pPr>
              <w:rPr>
                <w:sz w:val="20"/>
              </w:rPr>
            </w:pPr>
            <w:r w:rsidRPr="00011BA8">
              <w:rPr>
                <w:sz w:val="20"/>
                <w:lang w:val="ru-RU"/>
              </w:rPr>
              <w:t xml:space="preserve">отдельные земельные участки или строения, либо участки или строения, расположенные достаточно близко друг от друга, что позволило бы их рассматривать в действительности как </w:t>
            </w:r>
            <w:r w:rsidRPr="00011BA8">
              <w:rPr>
                <w:sz w:val="20"/>
                <w:lang w:val="ru-RU"/>
              </w:rPr>
              <w:lastRenderedPageBreak/>
              <w:t xml:space="preserve">единое инвестирование </w:t>
            </w:r>
          </w:p>
          <w:p w:rsidR="00BD0ABB" w:rsidRPr="00A23503" w:rsidRDefault="00BD0ABB" w:rsidP="00EE7C00">
            <w:pPr>
              <w:rPr>
                <w:sz w:val="20"/>
              </w:rPr>
            </w:pP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011BA8" w:rsidRDefault="00BD0ABB" w:rsidP="00EE7C00">
            <w:pPr>
              <w:rPr>
                <w:sz w:val="20"/>
                <w:lang w:val="ru-RU"/>
              </w:rPr>
            </w:pPr>
            <w:r w:rsidRPr="00011BA8">
              <w:rPr>
                <w:sz w:val="20"/>
                <w:lang w:val="ru-RU"/>
              </w:rPr>
              <w:t xml:space="preserve">не более </w:t>
            </w:r>
            <w:r>
              <w:rPr>
                <w:sz w:val="20"/>
                <w:lang w:val="ru-RU"/>
              </w:rPr>
              <w:t>20</w:t>
            </w:r>
            <w:r w:rsidRPr="00011BA8">
              <w:rPr>
                <w:sz w:val="20"/>
                <w:lang w:val="ru-RU"/>
              </w:rPr>
              <w:t xml:space="preserve">% в случае одной и той же инвестиции и не более </w:t>
            </w:r>
            <w:r>
              <w:rPr>
                <w:sz w:val="20"/>
                <w:lang w:val="ru-RU"/>
              </w:rPr>
              <w:t>35</w:t>
            </w:r>
            <w:r w:rsidRPr="00011BA8">
              <w:rPr>
                <w:sz w:val="20"/>
                <w:lang w:val="ru-RU"/>
              </w:rPr>
              <w:t xml:space="preserve">% </w:t>
            </w:r>
            <w:r>
              <w:rPr>
                <w:sz w:val="20"/>
                <w:lang w:val="ru-RU"/>
              </w:rPr>
              <w:t xml:space="preserve">для общего страхования и не более </w:t>
            </w:r>
            <w:r>
              <w:rPr>
                <w:sz w:val="20"/>
                <w:lang w:val="ru-RU"/>
              </w:rPr>
              <w:lastRenderedPageBreak/>
              <w:t xml:space="preserve">60% для страхования жизни, </w:t>
            </w:r>
            <w:r w:rsidRPr="00011BA8">
              <w:rPr>
                <w:sz w:val="20"/>
                <w:lang w:val="ru-RU"/>
              </w:rPr>
              <w:t xml:space="preserve">в </w:t>
            </w:r>
            <w:proofErr w:type="gramStart"/>
            <w:r w:rsidRPr="00011BA8">
              <w:rPr>
                <w:sz w:val="20"/>
                <w:lang w:val="ru-RU"/>
              </w:rPr>
              <w:t>общем</w:t>
            </w:r>
            <w:proofErr w:type="gramEnd"/>
            <w:r w:rsidRPr="00011BA8">
              <w:rPr>
                <w:sz w:val="20"/>
                <w:lang w:val="ru-RU"/>
              </w:rPr>
              <w:t xml:space="preserve">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trHeight w:val="140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lastRenderedPageBreak/>
              <w:t>1.10</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686B0A" w:rsidRDefault="00BD0ABB" w:rsidP="00EE7C00">
            <w:pPr>
              <w:rPr>
                <w:sz w:val="20"/>
                <w:lang w:val="ru-RU"/>
              </w:rPr>
            </w:pPr>
            <w:r>
              <w:rPr>
                <w:sz w:val="20"/>
                <w:lang w:val="ru-RU"/>
              </w:rPr>
              <w:t>д</w:t>
            </w:r>
            <w:r w:rsidRPr="00686B0A">
              <w:rPr>
                <w:sz w:val="20"/>
                <w:lang w:val="ru-RU"/>
              </w:rPr>
              <w:t xml:space="preserve">ебиторская задолженность по начисленным премиям при условии, что срок их давности не превышает 60 дней </w:t>
            </w:r>
            <w:proofErr w:type="gramStart"/>
            <w:r w:rsidRPr="00686B0A">
              <w:rPr>
                <w:sz w:val="20"/>
                <w:lang w:val="ru-RU"/>
              </w:rPr>
              <w:t xml:space="preserve">с </w:t>
            </w:r>
            <w:r>
              <w:rPr>
                <w:sz w:val="20"/>
                <w:lang w:val="ru-RU"/>
              </w:rPr>
              <w:t>даты</w:t>
            </w:r>
            <w:r w:rsidRPr="00686B0A">
              <w:rPr>
                <w:sz w:val="20"/>
                <w:lang w:val="ru-RU"/>
              </w:rPr>
              <w:t xml:space="preserve"> погашения</w:t>
            </w:r>
            <w:proofErr w:type="gramEnd"/>
            <w:r>
              <w:rPr>
                <w:sz w:val="20"/>
                <w:lang w:val="ru-RU"/>
              </w:rPr>
              <w:t>,  предусмотренной договором страхования</w:t>
            </w:r>
          </w:p>
          <w:p w:rsidR="00BD0ABB" w:rsidRPr="00A23503" w:rsidRDefault="00BD0ABB" w:rsidP="00EE7C00">
            <w:pPr>
              <w:rPr>
                <w:sz w:val="20"/>
              </w:rPr>
            </w:pP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955F42" w:rsidRDefault="00BD0ABB" w:rsidP="00EE7C00">
            <w:pPr>
              <w:rPr>
                <w:sz w:val="20"/>
                <w:lang w:val="ru-RU"/>
              </w:rPr>
            </w:pPr>
            <w:r w:rsidRPr="00955F42">
              <w:rPr>
                <w:sz w:val="20"/>
                <w:lang w:val="ru-RU"/>
              </w:rPr>
              <w:t xml:space="preserve">не более 3% в случае одного и того же дебитора и не более </w:t>
            </w:r>
            <w:r>
              <w:rPr>
                <w:sz w:val="20"/>
                <w:lang w:val="ru-RU"/>
              </w:rPr>
              <w:t>2</w:t>
            </w:r>
            <w:r w:rsidRPr="00955F42">
              <w:rPr>
                <w:sz w:val="20"/>
                <w:lang w:val="ru-RU"/>
              </w:rPr>
              <w:t>5% в общем от суммарной величины технических резервов, за исключением доли перестраховщика в технических резервах, и одной трети минимальной маржи платежеспособности</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trHeight w:val="663"/>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t>1.11</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B5AEA" w:rsidRDefault="00BD0ABB" w:rsidP="00EE7C00">
            <w:pPr>
              <w:jc w:val="both"/>
              <w:rPr>
                <w:sz w:val="20"/>
                <w:lang w:val="ru-RU"/>
              </w:rPr>
            </w:pPr>
            <w:r w:rsidRPr="002B5AEA">
              <w:rPr>
                <w:sz w:val="20"/>
                <w:lang w:val="ru-RU"/>
              </w:rPr>
              <w:t>дебиторская задолженность по субсидируемым государством страховым премиям</w:t>
            </w:r>
            <w:r w:rsidRPr="002B5AEA">
              <w:rPr>
                <w:sz w:val="20"/>
              </w:rPr>
              <w:t xml:space="preserve">, при условии, что срок их давности не превышает </w:t>
            </w:r>
            <w:r w:rsidRPr="002B5AEA">
              <w:rPr>
                <w:sz w:val="20"/>
                <w:lang w:val="ru-RU"/>
              </w:rPr>
              <w:t>180</w:t>
            </w:r>
            <w:r w:rsidRPr="002B5AEA">
              <w:rPr>
                <w:sz w:val="20"/>
              </w:rPr>
              <w:t xml:space="preserve"> дней </w:t>
            </w:r>
            <w:proofErr w:type="gramStart"/>
            <w:r w:rsidRPr="002B5AEA">
              <w:rPr>
                <w:sz w:val="20"/>
              </w:rPr>
              <w:t xml:space="preserve">с </w:t>
            </w:r>
            <w:r w:rsidRPr="002B5AEA">
              <w:rPr>
                <w:sz w:val="20"/>
                <w:lang w:val="ru-RU"/>
              </w:rPr>
              <w:t>даты</w:t>
            </w:r>
            <w:r w:rsidRPr="002B5AEA">
              <w:rPr>
                <w:sz w:val="20"/>
              </w:rPr>
              <w:t xml:space="preserve"> погашения</w:t>
            </w:r>
            <w:proofErr w:type="gramEnd"/>
            <w:r w:rsidRPr="002B5AEA">
              <w:rPr>
                <w:sz w:val="20"/>
              </w:rPr>
              <w:t>,</w:t>
            </w:r>
            <w:r w:rsidRPr="002B5AEA">
              <w:rPr>
                <w:sz w:val="20"/>
                <w:lang w:val="ru-RU"/>
              </w:rPr>
              <w:t xml:space="preserve"> предусмотренной договором страхования</w:t>
            </w:r>
            <w:r w:rsidRPr="002B5AEA">
              <w:rPr>
                <w:sz w:val="20"/>
              </w:rPr>
              <w:t xml:space="preserve"> </w:t>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B5AEA" w:rsidRDefault="00BD0ABB" w:rsidP="00EE7C00">
            <w:pPr>
              <w:rPr>
                <w:sz w:val="20"/>
                <w:lang w:val="ru-RU"/>
              </w:rPr>
            </w:pPr>
            <w:r w:rsidRPr="002B5AEA">
              <w:rPr>
                <w:sz w:val="20"/>
                <w:lang w:val="ru-RU"/>
              </w:rPr>
              <w:t>в размере величины технических резервов, начисленных по подписанным договорам</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trHeight w:val="465"/>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sz w:val="20"/>
              </w:rPr>
              <w:t>1.12</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r w:rsidRPr="00955F42">
              <w:rPr>
                <w:sz w:val="20"/>
                <w:lang w:val="ru-RU"/>
              </w:rPr>
              <w:t>дол</w:t>
            </w:r>
            <w:r>
              <w:rPr>
                <w:sz w:val="20"/>
                <w:lang w:val="ru-RU"/>
              </w:rPr>
              <w:t>я</w:t>
            </w:r>
            <w:r w:rsidRPr="00955F42">
              <w:rPr>
                <w:sz w:val="20"/>
                <w:lang w:val="ru-RU"/>
              </w:rPr>
              <w:t xml:space="preserve"> перестраховщика в технических резервах</w:t>
            </w:r>
            <w:r w:rsidRPr="00A23503">
              <w:rPr>
                <w:sz w:val="20"/>
              </w:rPr>
              <w:t xml:space="preserve"> </w:t>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2B5AEA" w:rsidRDefault="00BD0ABB" w:rsidP="00EE7C00">
            <w:pPr>
              <w:rPr>
                <w:sz w:val="20"/>
                <w:lang w:val="ru-RU"/>
              </w:rPr>
            </w:pPr>
            <w:r w:rsidRPr="002B5AEA">
              <w:rPr>
                <w:sz w:val="20"/>
                <w:lang w:val="ru-RU"/>
              </w:rPr>
              <w:t>в размере определенном при расчете технических резервов</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b/>
                <w:bCs/>
                <w:sz w:val="20"/>
              </w:rPr>
              <w:t>X</w:t>
            </w: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b/>
                <w:bCs/>
                <w:sz w:val="20"/>
              </w:rPr>
              <w:t>2</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C01BEF" w:rsidRDefault="00BD0ABB" w:rsidP="00EE7C00">
            <w:pPr>
              <w:rPr>
                <w:sz w:val="20"/>
                <w:lang w:val="ru-RU"/>
              </w:rPr>
            </w:pPr>
            <w:r w:rsidRPr="00C01BEF">
              <w:rPr>
                <w:b/>
                <w:bCs/>
                <w:sz w:val="20"/>
              </w:rPr>
              <w:t>Активы, не принимаемые в покрытие фондов страхователей</w:t>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b/>
                <w:bCs/>
                <w:sz w:val="20"/>
              </w:rPr>
              <w:t>X</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b/>
                <w:bCs/>
                <w:sz w:val="20"/>
              </w:rPr>
              <w:t>X</w:t>
            </w: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A23503" w:rsidTr="00EE7C0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b/>
                <w:bCs/>
                <w:sz w:val="20"/>
              </w:rPr>
              <w:t>3</w:t>
            </w:r>
          </w:p>
        </w:tc>
        <w:tc>
          <w:tcPr>
            <w:tcW w:w="36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both"/>
              <w:rPr>
                <w:sz w:val="20"/>
              </w:rPr>
            </w:pPr>
            <w:r>
              <w:rPr>
                <w:b/>
                <w:bCs/>
                <w:sz w:val="20"/>
                <w:lang w:val="ru-RU"/>
              </w:rPr>
              <w:t>Общий итог</w:t>
            </w:r>
            <w:r w:rsidRPr="00A23503">
              <w:rPr>
                <w:b/>
                <w:bCs/>
                <w:sz w:val="20"/>
              </w:rPr>
              <w:t xml:space="preserve"> (</w:t>
            </w:r>
            <w:proofErr w:type="spellStart"/>
            <w:r>
              <w:rPr>
                <w:b/>
                <w:bCs/>
                <w:sz w:val="20"/>
                <w:lang w:val="ru-RU"/>
              </w:rPr>
              <w:t>стр</w:t>
            </w:r>
            <w:proofErr w:type="spellEnd"/>
            <w:r w:rsidRPr="00A23503">
              <w:rPr>
                <w:b/>
                <w:bCs/>
                <w:sz w:val="20"/>
              </w:rPr>
              <w:t>.1+</w:t>
            </w:r>
            <w:proofErr w:type="spellStart"/>
            <w:r>
              <w:rPr>
                <w:b/>
                <w:bCs/>
                <w:sz w:val="20"/>
                <w:lang w:val="ru-RU"/>
              </w:rPr>
              <w:t>стр</w:t>
            </w:r>
            <w:proofErr w:type="spellEnd"/>
            <w:r w:rsidRPr="00A23503">
              <w:rPr>
                <w:b/>
                <w:bCs/>
                <w:sz w:val="20"/>
              </w:rPr>
              <w:t>.2)</w:t>
            </w:r>
          </w:p>
        </w:tc>
        <w:tc>
          <w:tcPr>
            <w:tcW w:w="11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jc w:val="center"/>
              <w:rPr>
                <w:sz w:val="20"/>
              </w:rPr>
            </w:pPr>
            <w:r w:rsidRPr="00A23503">
              <w:rPr>
                <w:b/>
                <w:bCs/>
                <w:sz w:val="20"/>
              </w:rPr>
              <w:t>X</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c>
          <w:tcPr>
            <w:tcW w:w="18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ABB" w:rsidRPr="00A23503" w:rsidRDefault="00BD0ABB" w:rsidP="00EE7C00">
            <w:pPr>
              <w:rPr>
                <w:sz w:val="20"/>
              </w:rPr>
            </w:pPr>
          </w:p>
        </w:tc>
      </w:tr>
      <w:tr w:rsidR="00BD0ABB" w:rsidRPr="009119CA" w:rsidTr="00EE7C00">
        <w:trPr>
          <w:jc w:val="center"/>
        </w:trPr>
        <w:tc>
          <w:tcPr>
            <w:tcW w:w="10734" w:type="dxa"/>
            <w:gridSpan w:val="6"/>
            <w:tcBorders>
              <w:top w:val="nil"/>
              <w:left w:val="nil"/>
              <w:bottom w:val="nil"/>
              <w:right w:val="nil"/>
            </w:tcBorders>
            <w:tcMar>
              <w:top w:w="15" w:type="dxa"/>
              <w:left w:w="45" w:type="dxa"/>
              <w:bottom w:w="15" w:type="dxa"/>
              <w:right w:w="45" w:type="dxa"/>
            </w:tcMar>
            <w:hideMark/>
          </w:tcPr>
          <w:p w:rsidR="00BD0ABB" w:rsidRDefault="00BD0ABB" w:rsidP="00EE7C00">
            <w:pPr>
              <w:rPr>
                <w:sz w:val="20"/>
                <w:lang w:val="ru-RU"/>
              </w:rPr>
            </w:pPr>
            <w:r w:rsidRPr="00A23503">
              <w:rPr>
                <w:sz w:val="20"/>
              </w:rPr>
              <w:t> </w:t>
            </w:r>
          </w:p>
          <w:p w:rsidR="00BD0ABB" w:rsidRDefault="00BD0ABB" w:rsidP="00EE7C00">
            <w:pPr>
              <w:rPr>
                <w:sz w:val="20"/>
                <w:lang w:val="ru-RU"/>
              </w:rPr>
            </w:pPr>
          </w:p>
          <w:p w:rsidR="00BD0ABB" w:rsidRDefault="00BD0ABB" w:rsidP="00EE7C00">
            <w:pPr>
              <w:rPr>
                <w:sz w:val="20"/>
                <w:lang w:val="ru-RU"/>
              </w:rPr>
            </w:pPr>
            <w:r>
              <w:rPr>
                <w:sz w:val="20"/>
                <w:lang w:val="ru-RU"/>
              </w:rPr>
              <w:t xml:space="preserve">            1. Всего активов согласно бухгалтерскому балансу ________________________________леев;</w:t>
            </w:r>
          </w:p>
          <w:p w:rsidR="00BD0ABB" w:rsidRPr="003B10DE" w:rsidRDefault="00BD0ABB" w:rsidP="00EE7C00">
            <w:pPr>
              <w:ind w:firstLine="567"/>
              <w:jc w:val="both"/>
              <w:rPr>
                <w:sz w:val="20"/>
                <w:lang w:val="ru-RU"/>
              </w:rPr>
            </w:pPr>
            <w:r>
              <w:rPr>
                <w:sz w:val="20"/>
                <w:lang w:val="ru-RU"/>
              </w:rPr>
              <w:t>2</w:t>
            </w:r>
            <w:r w:rsidRPr="003B10DE">
              <w:rPr>
                <w:sz w:val="20"/>
                <w:lang w:val="ru-RU"/>
              </w:rPr>
              <w:t xml:space="preserve">. Технические </w:t>
            </w:r>
            <w:r>
              <w:rPr>
                <w:sz w:val="20"/>
                <w:lang w:val="ru-RU"/>
              </w:rPr>
              <w:t>брутто-</w:t>
            </w:r>
            <w:r w:rsidRPr="003B10DE">
              <w:rPr>
                <w:sz w:val="20"/>
                <w:lang w:val="ru-RU"/>
              </w:rPr>
              <w:t xml:space="preserve">резервы ___________ леев;  </w:t>
            </w:r>
          </w:p>
          <w:p w:rsidR="00BD0ABB" w:rsidRDefault="00BD0ABB" w:rsidP="00EE7C00">
            <w:pPr>
              <w:ind w:firstLine="567"/>
              <w:jc w:val="both"/>
              <w:rPr>
                <w:sz w:val="20"/>
                <w:lang w:val="ru-RU"/>
              </w:rPr>
            </w:pPr>
            <w:r>
              <w:rPr>
                <w:sz w:val="20"/>
                <w:lang w:val="ru-RU"/>
              </w:rPr>
              <w:t>3</w:t>
            </w:r>
            <w:r w:rsidRPr="003B10DE">
              <w:rPr>
                <w:sz w:val="20"/>
                <w:lang w:val="ru-RU"/>
              </w:rPr>
              <w:t>. Минимальная маржа платежеспособности в соответствии с формой ММП_Ж</w:t>
            </w:r>
            <w:r>
              <w:rPr>
                <w:sz w:val="20"/>
                <w:lang w:val="ru-RU"/>
              </w:rPr>
              <w:t>/ГМП_Ж</w:t>
            </w:r>
            <w:r w:rsidRPr="003B10DE">
              <w:rPr>
                <w:sz w:val="20"/>
                <w:lang w:val="ru-RU"/>
              </w:rPr>
              <w:t xml:space="preserve"> или ММП_О</w:t>
            </w:r>
            <w:r>
              <w:rPr>
                <w:sz w:val="20"/>
                <w:lang w:val="ru-RU"/>
              </w:rPr>
              <w:t>/</w:t>
            </w:r>
            <w:proofErr w:type="gramStart"/>
            <w:r>
              <w:rPr>
                <w:sz w:val="20"/>
                <w:lang w:val="ru-RU"/>
              </w:rPr>
              <w:t>ГМП</w:t>
            </w:r>
            <w:proofErr w:type="gramEnd"/>
            <w:r>
              <w:rPr>
                <w:sz w:val="20"/>
                <w:lang w:val="ru-RU"/>
              </w:rPr>
              <w:t>_О</w:t>
            </w:r>
            <w:r w:rsidRPr="003B10DE">
              <w:rPr>
                <w:sz w:val="20"/>
                <w:lang w:val="ru-RU"/>
              </w:rPr>
              <w:t xml:space="preserve"> ________ леев;</w:t>
            </w:r>
          </w:p>
          <w:p w:rsidR="00BD0ABB" w:rsidRPr="003B10DE" w:rsidRDefault="00BD0ABB" w:rsidP="00EE7C00">
            <w:pPr>
              <w:ind w:firstLine="567"/>
              <w:jc w:val="both"/>
              <w:rPr>
                <w:sz w:val="20"/>
                <w:lang w:val="ru-RU"/>
              </w:rPr>
            </w:pPr>
            <w:r>
              <w:rPr>
                <w:sz w:val="20"/>
                <w:lang w:val="ru-RU"/>
              </w:rPr>
              <w:t xml:space="preserve">4. </w:t>
            </w:r>
            <w:r w:rsidRPr="003B10DE">
              <w:rPr>
                <w:sz w:val="20"/>
                <w:lang w:val="ru-RU"/>
              </w:rPr>
              <w:t xml:space="preserve"> Общая сумма технических</w:t>
            </w:r>
            <w:r>
              <w:rPr>
                <w:sz w:val="20"/>
                <w:lang w:val="ru-RU"/>
              </w:rPr>
              <w:t xml:space="preserve"> брутто-</w:t>
            </w:r>
            <w:r w:rsidRPr="003B10DE">
              <w:rPr>
                <w:sz w:val="20"/>
                <w:lang w:val="ru-RU"/>
              </w:rPr>
              <w:t>резервов</w:t>
            </w:r>
            <w:r>
              <w:rPr>
                <w:sz w:val="20"/>
                <w:lang w:val="ru-RU"/>
              </w:rPr>
              <w:t xml:space="preserve"> и трети минимальной маржи платежеспособности ___________леев;</w:t>
            </w:r>
          </w:p>
          <w:p w:rsidR="00BD0ABB" w:rsidRPr="003B10DE" w:rsidRDefault="00BD0ABB" w:rsidP="00EE7C00">
            <w:pPr>
              <w:ind w:firstLine="567"/>
              <w:jc w:val="both"/>
              <w:rPr>
                <w:sz w:val="20"/>
                <w:lang w:val="ru-RU"/>
              </w:rPr>
            </w:pPr>
            <w:r>
              <w:rPr>
                <w:sz w:val="20"/>
                <w:lang w:val="ru-RU"/>
              </w:rPr>
              <w:t>5</w:t>
            </w:r>
            <w:r w:rsidRPr="003B10DE">
              <w:rPr>
                <w:sz w:val="20"/>
                <w:lang w:val="ru-RU"/>
              </w:rPr>
              <w:t xml:space="preserve">. Общая сумма технических </w:t>
            </w:r>
            <w:r>
              <w:rPr>
                <w:sz w:val="20"/>
                <w:lang w:val="ru-RU"/>
              </w:rPr>
              <w:t>брутто-</w:t>
            </w:r>
            <w:r w:rsidRPr="003B10DE">
              <w:rPr>
                <w:sz w:val="20"/>
                <w:lang w:val="ru-RU"/>
              </w:rPr>
              <w:t>резервов</w:t>
            </w:r>
            <w:r>
              <w:rPr>
                <w:sz w:val="20"/>
                <w:lang w:val="ru-RU"/>
              </w:rPr>
              <w:t>, за исключением доли перестраховщика в технических резервах,</w:t>
            </w:r>
            <w:r w:rsidRPr="003B10DE">
              <w:rPr>
                <w:sz w:val="20"/>
                <w:lang w:val="ru-RU"/>
              </w:rPr>
              <w:t xml:space="preserve"> и одной трети минимальной маржи платежеспособности, ______________ леев; </w:t>
            </w:r>
          </w:p>
          <w:p w:rsidR="00BD0ABB" w:rsidRPr="003B10DE" w:rsidRDefault="00BD0ABB" w:rsidP="00EE7C00">
            <w:pPr>
              <w:ind w:firstLine="567"/>
              <w:jc w:val="both"/>
              <w:rPr>
                <w:sz w:val="20"/>
                <w:lang w:val="ru-RU"/>
              </w:rPr>
            </w:pPr>
            <w:r>
              <w:rPr>
                <w:sz w:val="20"/>
              </w:rPr>
              <w:t>6</w:t>
            </w:r>
            <w:r w:rsidRPr="003B10DE">
              <w:rPr>
                <w:sz w:val="20"/>
                <w:lang w:val="ru-RU"/>
              </w:rPr>
              <w:t xml:space="preserve">. Допустимая стоимость активов Фонда страхователей, (стр.1 гр.4) _________________ леев; </w:t>
            </w:r>
          </w:p>
          <w:p w:rsidR="00BD0ABB" w:rsidRPr="003B10DE" w:rsidRDefault="00BD0ABB" w:rsidP="00EE7C00">
            <w:pPr>
              <w:ind w:firstLine="567"/>
              <w:jc w:val="both"/>
              <w:rPr>
                <w:sz w:val="20"/>
                <w:lang w:val="ru-RU"/>
              </w:rPr>
            </w:pPr>
            <w:r>
              <w:rPr>
                <w:sz w:val="20"/>
              </w:rPr>
              <w:t>7</w:t>
            </w:r>
            <w:r w:rsidRPr="003B10DE">
              <w:rPr>
                <w:sz w:val="20"/>
                <w:lang w:val="ru-RU"/>
              </w:rPr>
              <w:t>. Излишек/дефицит принимаемых активов в фонд</w:t>
            </w:r>
            <w:r>
              <w:rPr>
                <w:sz w:val="20"/>
                <w:lang w:val="ru-RU"/>
              </w:rPr>
              <w:t>ы</w:t>
            </w:r>
            <w:r w:rsidRPr="003B10DE">
              <w:rPr>
                <w:sz w:val="20"/>
                <w:lang w:val="ru-RU"/>
              </w:rPr>
              <w:t xml:space="preserve"> страхователей, с учетом норм распределения, (</w:t>
            </w:r>
            <w:r>
              <w:rPr>
                <w:sz w:val="20"/>
              </w:rPr>
              <w:t>6</w:t>
            </w:r>
            <w:r w:rsidRPr="003B10DE">
              <w:rPr>
                <w:sz w:val="20"/>
                <w:lang w:val="ru-RU"/>
              </w:rPr>
              <w:t>-</w:t>
            </w:r>
            <w:r>
              <w:rPr>
                <w:sz w:val="20"/>
              </w:rPr>
              <w:t>4</w:t>
            </w:r>
            <w:r>
              <w:rPr>
                <w:sz w:val="20"/>
                <w:lang w:val="ru-RU"/>
              </w:rPr>
              <w:t>) ______</w:t>
            </w:r>
            <w:r w:rsidRPr="003B10DE">
              <w:rPr>
                <w:sz w:val="20"/>
                <w:lang w:val="ru-RU"/>
              </w:rPr>
              <w:t xml:space="preserve"> леев. </w:t>
            </w:r>
          </w:p>
          <w:p w:rsidR="00BD0ABB" w:rsidRDefault="00BD0ABB" w:rsidP="00EE7C00">
            <w:pPr>
              <w:ind w:firstLine="567"/>
              <w:jc w:val="both"/>
              <w:rPr>
                <w:sz w:val="20"/>
              </w:rPr>
            </w:pPr>
          </w:p>
          <w:p w:rsidR="00BD0ABB" w:rsidRPr="003B10DE" w:rsidRDefault="00BD0ABB" w:rsidP="00EE7C00">
            <w:pPr>
              <w:ind w:firstLine="567"/>
              <w:jc w:val="both"/>
              <w:rPr>
                <w:sz w:val="20"/>
                <w:lang w:val="ru-RU"/>
              </w:rPr>
            </w:pPr>
            <w:r w:rsidRPr="003B10DE">
              <w:rPr>
                <w:sz w:val="20"/>
                <w:lang w:val="ru-RU"/>
              </w:rPr>
              <w:t xml:space="preserve">Имя, фамилия и подпись сертифицированного актуария. </w:t>
            </w:r>
          </w:p>
          <w:p w:rsidR="00BD0ABB" w:rsidRPr="00E558BB" w:rsidRDefault="00BD0ABB" w:rsidP="00EE7C00">
            <w:pPr>
              <w:ind w:firstLine="567"/>
              <w:jc w:val="both"/>
              <w:rPr>
                <w:sz w:val="20"/>
              </w:rPr>
            </w:pPr>
            <w:r w:rsidRPr="003B10DE">
              <w:rPr>
                <w:sz w:val="20"/>
                <w:lang w:val="ru-RU"/>
              </w:rPr>
              <w:t>Дата составления</w:t>
            </w:r>
            <w:r>
              <w:rPr>
                <w:sz w:val="20"/>
              </w:rPr>
              <w:t xml:space="preserve"> ________________________</w:t>
            </w:r>
          </w:p>
          <w:p w:rsidR="00BD0ABB" w:rsidRPr="00A23503" w:rsidRDefault="00BD0ABB" w:rsidP="00EE7C00">
            <w:pPr>
              <w:rPr>
                <w:sz w:val="20"/>
              </w:rPr>
            </w:pPr>
          </w:p>
          <w:p w:rsidR="00BD0ABB" w:rsidRPr="00A23503" w:rsidRDefault="00BD0ABB" w:rsidP="00EE7C00">
            <w:pPr>
              <w:ind w:firstLine="567"/>
              <w:jc w:val="both"/>
              <w:rPr>
                <w:sz w:val="20"/>
              </w:rPr>
            </w:pPr>
            <w:r w:rsidRPr="00A23503">
              <w:rPr>
                <w:sz w:val="20"/>
              </w:rPr>
              <w:t xml:space="preserve">  </w:t>
            </w:r>
          </w:p>
          <w:p w:rsidR="00BD0ABB" w:rsidRPr="009119CA" w:rsidRDefault="00BD0ABB" w:rsidP="00EE7C00">
            <w:pPr>
              <w:jc w:val="both"/>
              <w:rPr>
                <w:bCs/>
                <w:i/>
                <w:sz w:val="20"/>
                <w:lang w:val="ru-RU"/>
              </w:rPr>
            </w:pPr>
            <w:r w:rsidRPr="009119CA">
              <w:rPr>
                <w:bCs/>
                <w:i/>
                <w:sz w:val="20"/>
                <w:lang w:val="ru-RU"/>
              </w:rPr>
              <w:t xml:space="preserve">            </w:t>
            </w:r>
            <w:r w:rsidRPr="00175191">
              <w:rPr>
                <w:bCs/>
                <w:i/>
                <w:sz w:val="20"/>
                <w:lang w:val="ru-RU"/>
              </w:rPr>
              <w:t>Инструкци</w:t>
            </w:r>
            <w:r>
              <w:rPr>
                <w:bCs/>
                <w:i/>
                <w:sz w:val="20"/>
                <w:lang w:val="ru-RU"/>
              </w:rPr>
              <w:t>я</w:t>
            </w:r>
            <w:r w:rsidRPr="00175191">
              <w:rPr>
                <w:bCs/>
                <w:i/>
                <w:sz w:val="20"/>
                <w:lang w:val="ru-RU"/>
              </w:rPr>
              <w:t xml:space="preserve"> по заполнению Формы A – Активы: </w:t>
            </w:r>
          </w:p>
          <w:p w:rsidR="00BD0ABB" w:rsidRPr="00A23503" w:rsidRDefault="00BD0ABB" w:rsidP="00EE7C00">
            <w:pPr>
              <w:ind w:firstLine="567"/>
              <w:jc w:val="both"/>
              <w:rPr>
                <w:sz w:val="20"/>
              </w:rPr>
            </w:pPr>
            <w:r w:rsidRPr="00A23503">
              <w:rPr>
                <w:i/>
                <w:iCs/>
                <w:sz w:val="20"/>
              </w:rPr>
              <w:t xml:space="preserve">1. </w:t>
            </w:r>
            <w:r w:rsidRPr="00175191">
              <w:rPr>
                <w:i/>
                <w:sz w:val="20"/>
                <w:lang w:val="ru-RU"/>
              </w:rPr>
              <w:t>Графа (1) включает категории активов, так как они представлены в бухгалтерском балансе, приведенные в соответствие с положениями пунктов 4, 5 и 6 настоящего Положения</w:t>
            </w:r>
            <w:r w:rsidRPr="00A23503">
              <w:rPr>
                <w:i/>
                <w:iCs/>
                <w:sz w:val="20"/>
              </w:rPr>
              <w:t>.</w:t>
            </w:r>
            <w:r w:rsidRPr="00A23503">
              <w:rPr>
                <w:sz w:val="20"/>
              </w:rPr>
              <w:t xml:space="preserve"> </w:t>
            </w:r>
          </w:p>
          <w:p w:rsidR="00BD0ABB" w:rsidRPr="00A23503" w:rsidRDefault="00BD0ABB" w:rsidP="00EE7C00">
            <w:pPr>
              <w:ind w:firstLine="567"/>
              <w:jc w:val="both"/>
              <w:rPr>
                <w:sz w:val="20"/>
              </w:rPr>
            </w:pPr>
            <w:r w:rsidRPr="00A23503">
              <w:rPr>
                <w:i/>
                <w:iCs/>
                <w:sz w:val="20"/>
              </w:rPr>
              <w:t xml:space="preserve">2. </w:t>
            </w:r>
            <w:r w:rsidRPr="00175191">
              <w:rPr>
                <w:i/>
                <w:sz w:val="20"/>
                <w:lang w:val="ru-RU"/>
              </w:rPr>
              <w:t>Графа (2) включает стоимость активов, определенную на оценочную дату в соответствии с настоящим Положением</w:t>
            </w:r>
            <w:r w:rsidRPr="00A23503">
              <w:rPr>
                <w:i/>
                <w:iCs/>
                <w:sz w:val="20"/>
              </w:rPr>
              <w:t xml:space="preserve">. </w:t>
            </w:r>
          </w:p>
          <w:p w:rsidR="00BD0ABB" w:rsidRPr="00A23503" w:rsidRDefault="00BD0ABB" w:rsidP="00EE7C00">
            <w:pPr>
              <w:ind w:firstLine="567"/>
              <w:jc w:val="both"/>
              <w:rPr>
                <w:sz w:val="20"/>
              </w:rPr>
            </w:pPr>
            <w:r w:rsidRPr="00A23503">
              <w:rPr>
                <w:i/>
                <w:iCs/>
                <w:sz w:val="20"/>
              </w:rPr>
              <w:t xml:space="preserve">3. </w:t>
            </w:r>
            <w:r w:rsidRPr="00175191">
              <w:rPr>
                <w:i/>
                <w:sz w:val="20"/>
                <w:lang w:val="ru-RU"/>
              </w:rPr>
              <w:t>Графа (3) включает активы, принимаемые в покрытие фондов страхователей, которые соответствуют требованиям главы IV настоящего Положения относительно категории</w:t>
            </w:r>
            <w:r w:rsidRPr="009119CA">
              <w:rPr>
                <w:i/>
                <w:sz w:val="20"/>
                <w:lang w:val="ru-RU"/>
              </w:rPr>
              <w:t xml:space="preserve"> и</w:t>
            </w:r>
            <w:r w:rsidRPr="00175191">
              <w:rPr>
                <w:i/>
                <w:sz w:val="20"/>
                <w:lang w:val="ru-RU"/>
              </w:rPr>
              <w:t xml:space="preserve"> соответствия принципам диверсификации</w:t>
            </w:r>
            <w:r>
              <w:rPr>
                <w:i/>
                <w:sz w:val="20"/>
                <w:lang w:val="ru-RU"/>
              </w:rPr>
              <w:t xml:space="preserve"> (распределения)</w:t>
            </w:r>
            <w:r w:rsidRPr="00A23503">
              <w:rPr>
                <w:i/>
                <w:iCs/>
                <w:sz w:val="20"/>
              </w:rPr>
              <w:t xml:space="preserve">. </w:t>
            </w:r>
          </w:p>
          <w:p w:rsidR="00BD0ABB" w:rsidRPr="002D710B" w:rsidRDefault="00BD0ABB" w:rsidP="00EE7C00">
            <w:pPr>
              <w:ind w:firstLine="567"/>
              <w:jc w:val="both"/>
              <w:rPr>
                <w:sz w:val="20"/>
                <w:lang w:val="ru-RU"/>
              </w:rPr>
            </w:pPr>
            <w:r w:rsidRPr="00A23503">
              <w:rPr>
                <w:i/>
                <w:iCs/>
                <w:sz w:val="20"/>
              </w:rPr>
              <w:t xml:space="preserve">4. </w:t>
            </w:r>
            <w:r w:rsidRPr="00175191">
              <w:rPr>
                <w:i/>
                <w:sz w:val="20"/>
                <w:lang w:val="ru-RU"/>
              </w:rPr>
              <w:t xml:space="preserve">Стоимость активов, принимаемых в покрытие фондов страхователей в размере, превышающем предел, установленный нормами </w:t>
            </w:r>
            <w:r>
              <w:rPr>
                <w:i/>
                <w:sz w:val="20"/>
                <w:lang w:val="ru-RU"/>
              </w:rPr>
              <w:t>диверсификации (</w:t>
            </w:r>
            <w:r w:rsidRPr="00175191">
              <w:rPr>
                <w:i/>
                <w:sz w:val="20"/>
                <w:lang w:val="ru-RU"/>
              </w:rPr>
              <w:t>распределения</w:t>
            </w:r>
            <w:r>
              <w:rPr>
                <w:i/>
                <w:sz w:val="20"/>
                <w:lang w:val="ru-RU"/>
              </w:rPr>
              <w:t>)</w:t>
            </w:r>
            <w:r w:rsidRPr="00175191">
              <w:rPr>
                <w:i/>
                <w:sz w:val="20"/>
                <w:lang w:val="ru-RU"/>
              </w:rPr>
              <w:t>, и стоимость активов, не принимаемых в покрытие фондов страхователей, присваивается фондам страховщика (перестраховщика) и представляется в графе (4)</w:t>
            </w:r>
            <w:r>
              <w:rPr>
                <w:i/>
                <w:sz w:val="20"/>
                <w:lang w:val="ru-RU"/>
              </w:rPr>
              <w:t>.</w:t>
            </w:r>
            <w:r w:rsidRPr="00A23503">
              <w:rPr>
                <w:i/>
                <w:iCs/>
                <w:sz w:val="20"/>
              </w:rPr>
              <w:t>”</w:t>
            </w:r>
            <w:r w:rsidRPr="00A23503">
              <w:rPr>
                <w:sz w:val="20"/>
              </w:rPr>
              <w:t xml:space="preserve"> </w:t>
            </w:r>
          </w:p>
          <w:p w:rsidR="00BD0ABB" w:rsidRPr="00A23503" w:rsidRDefault="00BD0ABB" w:rsidP="00EE7C00">
            <w:pPr>
              <w:ind w:firstLine="567"/>
              <w:jc w:val="both"/>
              <w:rPr>
                <w:sz w:val="20"/>
              </w:rPr>
            </w:pPr>
          </w:p>
          <w:p w:rsidR="00BD0ABB" w:rsidRPr="00BD0ABB" w:rsidRDefault="00BD0ABB" w:rsidP="00BD0ABB">
            <w:pPr>
              <w:tabs>
                <w:tab w:val="left" w:pos="194"/>
              </w:tabs>
              <w:jc w:val="both"/>
              <w:rPr>
                <w:sz w:val="20"/>
              </w:rPr>
            </w:pPr>
            <w:bookmarkStart w:id="0" w:name="_GoBack"/>
            <w:bookmarkEnd w:id="0"/>
          </w:p>
        </w:tc>
      </w:tr>
    </w:tbl>
    <w:p w:rsidR="00470642" w:rsidRDefault="00470642"/>
    <w:p w:rsidR="00BD0ABB" w:rsidRDefault="00BD0ABB"/>
    <w:sectPr w:rsidR="00BD0ABB"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B0"/>
    <w:multiLevelType w:val="hybridMultilevel"/>
    <w:tmpl w:val="CE8EA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177B"/>
    <w:multiLevelType w:val="hybridMultilevel"/>
    <w:tmpl w:val="889C34AC"/>
    <w:lvl w:ilvl="0" w:tplc="270431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790F"/>
    <w:multiLevelType w:val="hybridMultilevel"/>
    <w:tmpl w:val="8ABA6FA8"/>
    <w:lvl w:ilvl="0" w:tplc="07905DF2">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706AE"/>
    <w:multiLevelType w:val="hybridMultilevel"/>
    <w:tmpl w:val="EE96791C"/>
    <w:lvl w:ilvl="0" w:tplc="B0B6BABE">
      <w:start w:val="1"/>
      <w:numFmt w:val="lowerLetter"/>
      <w:lvlText w:val="%1)"/>
      <w:lvlJc w:val="left"/>
      <w:pPr>
        <w:ind w:left="1348" w:hanging="360"/>
      </w:pPr>
      <w:rPr>
        <w:rFonts w:ascii="Times New Roman" w:eastAsia="Times New Roman" w:hAnsi="Times New Roman" w:cs="Times New Roman"/>
        <w:b/>
        <w:color w:val="auto"/>
      </w:r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4">
    <w:nsid w:val="169877A5"/>
    <w:multiLevelType w:val="hybridMultilevel"/>
    <w:tmpl w:val="64184694"/>
    <w:lvl w:ilvl="0" w:tplc="19A89450">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674A5"/>
    <w:multiLevelType w:val="hybridMultilevel"/>
    <w:tmpl w:val="165068A2"/>
    <w:lvl w:ilvl="0" w:tplc="7DA8FDA6">
      <w:start w:val="1"/>
      <w:numFmt w:val="decimal"/>
      <w:lvlText w:val="%1."/>
      <w:lvlJc w:val="left"/>
      <w:pPr>
        <w:tabs>
          <w:tab w:val="num" w:pos="988"/>
        </w:tabs>
        <w:ind w:left="988" w:hanging="420"/>
      </w:pPr>
      <w:rPr>
        <w:rFonts w:ascii="Times New Roman" w:hAnsi="Times New Roman" w:cs="Times New Roman" w:hint="default"/>
        <w:b w:val="0"/>
        <w:i w:val="0"/>
        <w:color w:val="auto"/>
        <w:sz w:val="28"/>
        <w:szCs w:val="28"/>
        <w:lang w:val="ro-RO"/>
      </w:rPr>
    </w:lvl>
    <w:lvl w:ilvl="1" w:tplc="04090019">
      <w:start w:val="1"/>
      <w:numFmt w:val="decimal"/>
      <w:lvlText w:val="%2."/>
      <w:lvlJc w:val="left"/>
      <w:pPr>
        <w:tabs>
          <w:tab w:val="num" w:pos="3863"/>
        </w:tabs>
        <w:ind w:left="3863" w:hanging="360"/>
      </w:pPr>
    </w:lvl>
    <w:lvl w:ilvl="2" w:tplc="0409001B">
      <w:start w:val="1"/>
      <w:numFmt w:val="decimal"/>
      <w:lvlText w:val="%3."/>
      <w:lvlJc w:val="left"/>
      <w:pPr>
        <w:tabs>
          <w:tab w:val="num" w:pos="4583"/>
        </w:tabs>
        <w:ind w:left="4583" w:hanging="360"/>
      </w:pPr>
    </w:lvl>
    <w:lvl w:ilvl="3" w:tplc="0409000F">
      <w:start w:val="1"/>
      <w:numFmt w:val="decimal"/>
      <w:lvlText w:val="%4."/>
      <w:lvlJc w:val="left"/>
      <w:pPr>
        <w:tabs>
          <w:tab w:val="num" w:pos="5303"/>
        </w:tabs>
        <w:ind w:left="5303" w:hanging="360"/>
      </w:pPr>
    </w:lvl>
    <w:lvl w:ilvl="4" w:tplc="04090019">
      <w:start w:val="1"/>
      <w:numFmt w:val="decimal"/>
      <w:lvlText w:val="%5."/>
      <w:lvlJc w:val="left"/>
      <w:pPr>
        <w:tabs>
          <w:tab w:val="num" w:pos="6023"/>
        </w:tabs>
        <w:ind w:left="6023" w:hanging="360"/>
      </w:pPr>
    </w:lvl>
    <w:lvl w:ilvl="5" w:tplc="0409001B">
      <w:start w:val="1"/>
      <w:numFmt w:val="decimal"/>
      <w:lvlText w:val="%6."/>
      <w:lvlJc w:val="left"/>
      <w:pPr>
        <w:tabs>
          <w:tab w:val="num" w:pos="6743"/>
        </w:tabs>
        <w:ind w:left="6743" w:hanging="360"/>
      </w:pPr>
    </w:lvl>
    <w:lvl w:ilvl="6" w:tplc="0409000F">
      <w:start w:val="1"/>
      <w:numFmt w:val="decimal"/>
      <w:lvlText w:val="%7."/>
      <w:lvlJc w:val="left"/>
      <w:pPr>
        <w:tabs>
          <w:tab w:val="num" w:pos="7463"/>
        </w:tabs>
        <w:ind w:left="7463" w:hanging="360"/>
      </w:pPr>
    </w:lvl>
    <w:lvl w:ilvl="7" w:tplc="04090019">
      <w:start w:val="1"/>
      <w:numFmt w:val="decimal"/>
      <w:lvlText w:val="%8."/>
      <w:lvlJc w:val="left"/>
      <w:pPr>
        <w:tabs>
          <w:tab w:val="num" w:pos="8183"/>
        </w:tabs>
        <w:ind w:left="8183" w:hanging="360"/>
      </w:pPr>
    </w:lvl>
    <w:lvl w:ilvl="8" w:tplc="0409001B">
      <w:start w:val="1"/>
      <w:numFmt w:val="decimal"/>
      <w:lvlText w:val="%9."/>
      <w:lvlJc w:val="left"/>
      <w:pPr>
        <w:tabs>
          <w:tab w:val="num" w:pos="8903"/>
        </w:tabs>
        <w:ind w:left="8903" w:hanging="360"/>
      </w:pPr>
    </w:lvl>
  </w:abstractNum>
  <w:abstractNum w:abstractNumId="6">
    <w:nsid w:val="1AE618B0"/>
    <w:multiLevelType w:val="hybridMultilevel"/>
    <w:tmpl w:val="785022C4"/>
    <w:lvl w:ilvl="0" w:tplc="183E40CA">
      <w:start w:val="1"/>
      <w:numFmt w:val="decimal"/>
      <w:lvlText w:val="%1)"/>
      <w:lvlJc w:val="left"/>
      <w:pPr>
        <w:ind w:left="928"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471A4"/>
    <w:multiLevelType w:val="hybridMultilevel"/>
    <w:tmpl w:val="CF78E18A"/>
    <w:lvl w:ilvl="0" w:tplc="55D892B6">
      <w:start w:val="3"/>
      <w:numFmt w:val="decimal"/>
      <w:lvlText w:val="%1)"/>
      <w:lvlJc w:val="left"/>
      <w:pPr>
        <w:ind w:left="502" w:hanging="360"/>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5F42F41"/>
    <w:multiLevelType w:val="hybridMultilevel"/>
    <w:tmpl w:val="EE96791C"/>
    <w:lvl w:ilvl="0" w:tplc="B0B6BABE">
      <w:start w:val="1"/>
      <w:numFmt w:val="lowerLetter"/>
      <w:lvlText w:val="%1)"/>
      <w:lvlJc w:val="left"/>
      <w:pPr>
        <w:ind w:left="1348" w:hanging="360"/>
      </w:pPr>
      <w:rPr>
        <w:rFonts w:ascii="Times New Roman" w:eastAsia="Times New Roman" w:hAnsi="Times New Roman" w:cs="Times New Roman"/>
        <w:b/>
        <w:color w:val="auto"/>
      </w:r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9">
    <w:nsid w:val="29C528CB"/>
    <w:multiLevelType w:val="hybridMultilevel"/>
    <w:tmpl w:val="1CD0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84F80"/>
    <w:multiLevelType w:val="hybridMultilevel"/>
    <w:tmpl w:val="27F66DF2"/>
    <w:lvl w:ilvl="0" w:tplc="39C22362">
      <w:start w:val="1"/>
      <w:numFmt w:val="decimal"/>
      <w:lvlText w:val="%1."/>
      <w:lvlJc w:val="left"/>
      <w:pPr>
        <w:tabs>
          <w:tab w:val="num" w:pos="988"/>
        </w:tabs>
        <w:ind w:left="988" w:hanging="420"/>
      </w:pPr>
      <w:rPr>
        <w:b/>
        <w:i w:val="0"/>
        <w:color w:val="auto"/>
        <w:sz w:val="28"/>
        <w:szCs w:val="28"/>
        <w:lang w:val="ro-RO"/>
      </w:rPr>
    </w:lvl>
    <w:lvl w:ilvl="1" w:tplc="04090019">
      <w:start w:val="1"/>
      <w:numFmt w:val="decimal"/>
      <w:lvlText w:val="%2."/>
      <w:lvlJc w:val="left"/>
      <w:pPr>
        <w:tabs>
          <w:tab w:val="num" w:pos="3863"/>
        </w:tabs>
        <w:ind w:left="3863" w:hanging="360"/>
      </w:pPr>
    </w:lvl>
    <w:lvl w:ilvl="2" w:tplc="0409001B">
      <w:start w:val="1"/>
      <w:numFmt w:val="decimal"/>
      <w:lvlText w:val="%3."/>
      <w:lvlJc w:val="left"/>
      <w:pPr>
        <w:tabs>
          <w:tab w:val="num" w:pos="4583"/>
        </w:tabs>
        <w:ind w:left="4583" w:hanging="360"/>
      </w:pPr>
    </w:lvl>
    <w:lvl w:ilvl="3" w:tplc="0409000F">
      <w:start w:val="1"/>
      <w:numFmt w:val="decimal"/>
      <w:lvlText w:val="%4."/>
      <w:lvlJc w:val="left"/>
      <w:pPr>
        <w:tabs>
          <w:tab w:val="num" w:pos="5303"/>
        </w:tabs>
        <w:ind w:left="5303" w:hanging="360"/>
      </w:pPr>
    </w:lvl>
    <w:lvl w:ilvl="4" w:tplc="04090019">
      <w:start w:val="1"/>
      <w:numFmt w:val="decimal"/>
      <w:lvlText w:val="%5."/>
      <w:lvlJc w:val="left"/>
      <w:pPr>
        <w:tabs>
          <w:tab w:val="num" w:pos="6023"/>
        </w:tabs>
        <w:ind w:left="6023" w:hanging="360"/>
      </w:pPr>
    </w:lvl>
    <w:lvl w:ilvl="5" w:tplc="0409001B">
      <w:start w:val="1"/>
      <w:numFmt w:val="decimal"/>
      <w:lvlText w:val="%6."/>
      <w:lvlJc w:val="left"/>
      <w:pPr>
        <w:tabs>
          <w:tab w:val="num" w:pos="6743"/>
        </w:tabs>
        <w:ind w:left="6743" w:hanging="360"/>
      </w:pPr>
    </w:lvl>
    <w:lvl w:ilvl="6" w:tplc="0409000F">
      <w:start w:val="1"/>
      <w:numFmt w:val="decimal"/>
      <w:lvlText w:val="%7."/>
      <w:lvlJc w:val="left"/>
      <w:pPr>
        <w:tabs>
          <w:tab w:val="num" w:pos="7463"/>
        </w:tabs>
        <w:ind w:left="7463" w:hanging="360"/>
      </w:pPr>
    </w:lvl>
    <w:lvl w:ilvl="7" w:tplc="04090019">
      <w:start w:val="1"/>
      <w:numFmt w:val="decimal"/>
      <w:lvlText w:val="%8."/>
      <w:lvlJc w:val="left"/>
      <w:pPr>
        <w:tabs>
          <w:tab w:val="num" w:pos="8183"/>
        </w:tabs>
        <w:ind w:left="8183" w:hanging="360"/>
      </w:pPr>
    </w:lvl>
    <w:lvl w:ilvl="8" w:tplc="0409001B">
      <w:start w:val="1"/>
      <w:numFmt w:val="decimal"/>
      <w:lvlText w:val="%9."/>
      <w:lvlJc w:val="left"/>
      <w:pPr>
        <w:tabs>
          <w:tab w:val="num" w:pos="8903"/>
        </w:tabs>
        <w:ind w:left="8903" w:hanging="360"/>
      </w:pPr>
    </w:lvl>
  </w:abstractNum>
  <w:abstractNum w:abstractNumId="11">
    <w:nsid w:val="3ABD136D"/>
    <w:multiLevelType w:val="hybridMultilevel"/>
    <w:tmpl w:val="258A9BB4"/>
    <w:lvl w:ilvl="0" w:tplc="BF42F438">
      <w:start w:val="1"/>
      <w:numFmt w:val="decimal"/>
      <w:lvlText w:val="%1)"/>
      <w:lvlJc w:val="left"/>
      <w:pPr>
        <w:ind w:left="1070" w:hanging="360"/>
      </w:pPr>
      <w:rPr>
        <w:rFonts w:hint="default"/>
        <w:b w:val="0"/>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D384EAD"/>
    <w:multiLevelType w:val="hybridMultilevel"/>
    <w:tmpl w:val="D772F354"/>
    <w:lvl w:ilvl="0" w:tplc="46DE0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CC111A"/>
    <w:multiLevelType w:val="hybridMultilevel"/>
    <w:tmpl w:val="10280BE0"/>
    <w:lvl w:ilvl="0" w:tplc="F3E08C32">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95294"/>
    <w:multiLevelType w:val="hybridMultilevel"/>
    <w:tmpl w:val="CD9698D4"/>
    <w:lvl w:ilvl="0" w:tplc="964413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F6C0C4C"/>
    <w:multiLevelType w:val="hybridMultilevel"/>
    <w:tmpl w:val="77AC6BA6"/>
    <w:lvl w:ilvl="0" w:tplc="43F45C1E">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E709E4"/>
    <w:multiLevelType w:val="hybridMultilevel"/>
    <w:tmpl w:val="5D389E5E"/>
    <w:lvl w:ilvl="0" w:tplc="138C4EFE">
      <w:start w:val="1"/>
      <w:numFmt w:val="decimal"/>
      <w:lvlText w:val="%1)"/>
      <w:lvlJc w:val="left"/>
      <w:pPr>
        <w:ind w:left="502"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44FC7"/>
    <w:multiLevelType w:val="hybridMultilevel"/>
    <w:tmpl w:val="318C2070"/>
    <w:lvl w:ilvl="0" w:tplc="4E42BD78">
      <w:start w:val="4"/>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B2167"/>
    <w:multiLevelType w:val="hybridMultilevel"/>
    <w:tmpl w:val="7B8ADA5A"/>
    <w:lvl w:ilvl="0" w:tplc="2F6454BA">
      <w:start w:val="1"/>
      <w:numFmt w:val="decimal"/>
      <w:lvlText w:val="%1."/>
      <w:lvlJc w:val="left"/>
      <w:pPr>
        <w:ind w:left="928"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550D7"/>
    <w:multiLevelType w:val="hybridMultilevel"/>
    <w:tmpl w:val="F8C06A10"/>
    <w:lvl w:ilvl="0" w:tplc="4E3CA9F2">
      <w:start w:val="1"/>
      <w:numFmt w:val="decimal"/>
      <w:lvlText w:val="%1)"/>
      <w:lvlJc w:val="left"/>
      <w:pPr>
        <w:ind w:left="928"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5D83210"/>
    <w:multiLevelType w:val="hybridMultilevel"/>
    <w:tmpl w:val="E7BEE7D0"/>
    <w:lvl w:ilvl="0" w:tplc="C5946F46">
      <w:start w:val="1"/>
      <w:numFmt w:val="lowerLetter"/>
      <w:lvlText w:val="%1)"/>
      <w:lvlJc w:val="left"/>
      <w:pPr>
        <w:ind w:left="1348" w:hanging="360"/>
      </w:pPr>
      <w:rPr>
        <w:rFonts w:ascii="Times New Roman" w:eastAsia="Times New Roman" w:hAnsi="Times New Roman" w:cs="Times New Roman"/>
        <w:b w:val="0"/>
        <w:color w:val="auto"/>
      </w:r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21">
    <w:nsid w:val="76114CA6"/>
    <w:multiLevelType w:val="hybridMultilevel"/>
    <w:tmpl w:val="37A66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F53B06"/>
    <w:multiLevelType w:val="hybridMultilevel"/>
    <w:tmpl w:val="3A02ADFC"/>
    <w:lvl w:ilvl="0" w:tplc="2494ACC8">
      <w:start w:val="3"/>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C272DDA"/>
    <w:multiLevelType w:val="hybridMultilevel"/>
    <w:tmpl w:val="3A02ADFC"/>
    <w:lvl w:ilvl="0" w:tplc="2494ACC8">
      <w:start w:val="3"/>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E901D7B"/>
    <w:multiLevelType w:val="hybridMultilevel"/>
    <w:tmpl w:val="27F66DF2"/>
    <w:lvl w:ilvl="0" w:tplc="39C22362">
      <w:start w:val="1"/>
      <w:numFmt w:val="decimal"/>
      <w:lvlText w:val="%1."/>
      <w:lvlJc w:val="left"/>
      <w:pPr>
        <w:tabs>
          <w:tab w:val="num" w:pos="988"/>
        </w:tabs>
        <w:ind w:left="988" w:hanging="420"/>
      </w:pPr>
      <w:rPr>
        <w:b/>
        <w:i w:val="0"/>
        <w:color w:val="auto"/>
        <w:sz w:val="28"/>
        <w:szCs w:val="28"/>
        <w:lang w:val="ro-RO"/>
      </w:rPr>
    </w:lvl>
    <w:lvl w:ilvl="1" w:tplc="04090019">
      <w:start w:val="1"/>
      <w:numFmt w:val="decimal"/>
      <w:lvlText w:val="%2."/>
      <w:lvlJc w:val="left"/>
      <w:pPr>
        <w:tabs>
          <w:tab w:val="num" w:pos="3863"/>
        </w:tabs>
        <w:ind w:left="3863" w:hanging="360"/>
      </w:pPr>
    </w:lvl>
    <w:lvl w:ilvl="2" w:tplc="0409001B">
      <w:start w:val="1"/>
      <w:numFmt w:val="decimal"/>
      <w:lvlText w:val="%3."/>
      <w:lvlJc w:val="left"/>
      <w:pPr>
        <w:tabs>
          <w:tab w:val="num" w:pos="4583"/>
        </w:tabs>
        <w:ind w:left="4583" w:hanging="360"/>
      </w:pPr>
    </w:lvl>
    <w:lvl w:ilvl="3" w:tplc="0409000F">
      <w:start w:val="1"/>
      <w:numFmt w:val="decimal"/>
      <w:lvlText w:val="%4."/>
      <w:lvlJc w:val="left"/>
      <w:pPr>
        <w:tabs>
          <w:tab w:val="num" w:pos="5303"/>
        </w:tabs>
        <w:ind w:left="5303" w:hanging="360"/>
      </w:pPr>
    </w:lvl>
    <w:lvl w:ilvl="4" w:tplc="04090019">
      <w:start w:val="1"/>
      <w:numFmt w:val="decimal"/>
      <w:lvlText w:val="%5."/>
      <w:lvlJc w:val="left"/>
      <w:pPr>
        <w:tabs>
          <w:tab w:val="num" w:pos="6023"/>
        </w:tabs>
        <w:ind w:left="6023" w:hanging="360"/>
      </w:pPr>
    </w:lvl>
    <w:lvl w:ilvl="5" w:tplc="0409001B">
      <w:start w:val="1"/>
      <w:numFmt w:val="decimal"/>
      <w:lvlText w:val="%6."/>
      <w:lvlJc w:val="left"/>
      <w:pPr>
        <w:tabs>
          <w:tab w:val="num" w:pos="6743"/>
        </w:tabs>
        <w:ind w:left="6743" w:hanging="360"/>
      </w:pPr>
    </w:lvl>
    <w:lvl w:ilvl="6" w:tplc="0409000F">
      <w:start w:val="1"/>
      <w:numFmt w:val="decimal"/>
      <w:lvlText w:val="%7."/>
      <w:lvlJc w:val="left"/>
      <w:pPr>
        <w:tabs>
          <w:tab w:val="num" w:pos="7463"/>
        </w:tabs>
        <w:ind w:left="7463" w:hanging="360"/>
      </w:pPr>
    </w:lvl>
    <w:lvl w:ilvl="7" w:tplc="04090019">
      <w:start w:val="1"/>
      <w:numFmt w:val="decimal"/>
      <w:lvlText w:val="%8."/>
      <w:lvlJc w:val="left"/>
      <w:pPr>
        <w:tabs>
          <w:tab w:val="num" w:pos="8183"/>
        </w:tabs>
        <w:ind w:left="8183" w:hanging="360"/>
      </w:pPr>
    </w:lvl>
    <w:lvl w:ilvl="8" w:tplc="0409001B">
      <w:start w:val="1"/>
      <w:numFmt w:val="decimal"/>
      <w:lvlText w:val="%9."/>
      <w:lvlJc w:val="left"/>
      <w:pPr>
        <w:tabs>
          <w:tab w:val="num" w:pos="8903"/>
        </w:tabs>
        <w:ind w:left="8903" w:hanging="360"/>
      </w:pPr>
    </w:lvl>
  </w:abstractNum>
  <w:num w:numId="1">
    <w:abstractNumId w:val="5"/>
  </w:num>
  <w:num w:numId="2">
    <w:abstractNumId w:val="19"/>
  </w:num>
  <w:num w:numId="3">
    <w:abstractNumId w:val="11"/>
  </w:num>
  <w:num w:numId="4">
    <w:abstractNumId w:val="18"/>
  </w:num>
  <w:num w:numId="5">
    <w:abstractNumId w:val="20"/>
  </w:num>
  <w:num w:numId="6">
    <w:abstractNumId w:val="6"/>
  </w:num>
  <w:num w:numId="7">
    <w:abstractNumId w:val="13"/>
  </w:num>
  <w:num w:numId="8">
    <w:abstractNumId w:val="16"/>
  </w:num>
  <w:num w:numId="9">
    <w:abstractNumId w:val="14"/>
  </w:num>
  <w:num w:numId="10">
    <w:abstractNumId w:val="0"/>
  </w:num>
  <w:num w:numId="11">
    <w:abstractNumId w:val="10"/>
  </w:num>
  <w:num w:numId="12">
    <w:abstractNumId w:val="2"/>
  </w:num>
  <w:num w:numId="13">
    <w:abstractNumId w:val="8"/>
  </w:num>
  <w:num w:numId="14">
    <w:abstractNumId w:val="15"/>
  </w:num>
  <w:num w:numId="15">
    <w:abstractNumId w:val="17"/>
  </w:num>
  <w:num w:numId="16">
    <w:abstractNumId w:val="7"/>
  </w:num>
  <w:num w:numId="17">
    <w:abstractNumId w:val="4"/>
  </w:num>
  <w:num w:numId="18">
    <w:abstractNumId w:val="23"/>
  </w:num>
  <w:num w:numId="19">
    <w:abstractNumId w:val="24"/>
  </w:num>
  <w:num w:numId="20">
    <w:abstractNumId w:val="1"/>
  </w:num>
  <w:num w:numId="21">
    <w:abstractNumId w:val="3"/>
  </w:num>
  <w:num w:numId="22">
    <w:abstractNumId w:val="22"/>
  </w:num>
  <w:num w:numId="23">
    <w:abstractNumId w:val="12"/>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BB"/>
    <w:rsid w:val="00035534"/>
    <w:rsid w:val="0044327B"/>
    <w:rsid w:val="00470642"/>
    <w:rsid w:val="00BD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BB"/>
    <w:pPr>
      <w:spacing w:after="0" w:line="240" w:lineRule="auto"/>
    </w:pPr>
    <w:rPr>
      <w:rFonts w:ascii="Times New Roman" w:eastAsia="Times New Roman" w:hAnsi="Times New Roman" w:cs="Times New Roman"/>
      <w:sz w:val="24"/>
      <w:szCs w:val="20"/>
      <w:lang w:val="ro-RO" w:eastAsia="ru-RU"/>
    </w:rPr>
  </w:style>
  <w:style w:type="paragraph" w:styleId="Heading1">
    <w:name w:val="heading 1"/>
    <w:basedOn w:val="Normal"/>
    <w:next w:val="Normal"/>
    <w:link w:val="Heading1Char"/>
    <w:uiPriority w:val="9"/>
    <w:qFormat/>
    <w:rsid w:val="00BD0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0AB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BD0ABB"/>
    <w:pPr>
      <w:keepNext/>
      <w:jc w:val="center"/>
      <w:outlineLvl w:val="3"/>
    </w:pPr>
    <w:rPr>
      <w:b/>
      <w:sz w:val="28"/>
      <w:lang w:val="en-US"/>
    </w:rPr>
  </w:style>
  <w:style w:type="paragraph" w:styleId="Heading7">
    <w:name w:val="heading 7"/>
    <w:basedOn w:val="Normal"/>
    <w:next w:val="Normal"/>
    <w:link w:val="Heading7Char"/>
    <w:uiPriority w:val="9"/>
    <w:unhideWhenUsed/>
    <w:qFormat/>
    <w:rsid w:val="00BD0ABB"/>
    <w:pPr>
      <w:spacing w:before="240" w:after="60"/>
      <w:outlineLvl w:val="6"/>
    </w:pPr>
    <w:rPr>
      <w:rFonts w:ascii="Calibri" w:hAnsi="Calibri"/>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ABB"/>
    <w:rPr>
      <w:rFonts w:asciiTheme="majorHAnsi" w:eastAsiaTheme="majorEastAsia" w:hAnsiTheme="majorHAnsi" w:cstheme="majorBidi"/>
      <w:b/>
      <w:bCs/>
      <w:color w:val="365F91" w:themeColor="accent1" w:themeShade="BF"/>
      <w:sz w:val="28"/>
      <w:szCs w:val="28"/>
      <w:lang w:val="ro-RO" w:eastAsia="ru-RU"/>
    </w:rPr>
  </w:style>
  <w:style w:type="character" w:customStyle="1" w:styleId="Heading2Char">
    <w:name w:val="Heading 2 Char"/>
    <w:basedOn w:val="DefaultParagraphFont"/>
    <w:link w:val="Heading2"/>
    <w:rsid w:val="00BD0ABB"/>
    <w:rPr>
      <w:rFonts w:ascii="Arial" w:eastAsia="Times New Roman" w:hAnsi="Arial" w:cs="Arial"/>
      <w:b/>
      <w:bCs/>
      <w:i/>
      <w:iCs/>
      <w:sz w:val="28"/>
      <w:szCs w:val="28"/>
      <w:lang w:val="ro-RO" w:eastAsia="ru-RU"/>
    </w:rPr>
  </w:style>
  <w:style w:type="character" w:customStyle="1" w:styleId="Heading4Char">
    <w:name w:val="Heading 4 Char"/>
    <w:basedOn w:val="DefaultParagraphFont"/>
    <w:link w:val="Heading4"/>
    <w:rsid w:val="00BD0ABB"/>
    <w:rPr>
      <w:rFonts w:ascii="Times New Roman" w:eastAsia="Times New Roman" w:hAnsi="Times New Roman" w:cs="Times New Roman"/>
      <w:b/>
      <w:sz w:val="28"/>
      <w:szCs w:val="20"/>
      <w:lang w:val="en-US" w:eastAsia="ru-RU"/>
    </w:rPr>
  </w:style>
  <w:style w:type="character" w:customStyle="1" w:styleId="Heading7Char">
    <w:name w:val="Heading 7 Char"/>
    <w:basedOn w:val="DefaultParagraphFont"/>
    <w:link w:val="Heading7"/>
    <w:uiPriority w:val="9"/>
    <w:rsid w:val="00BD0ABB"/>
    <w:rPr>
      <w:rFonts w:ascii="Calibri" w:eastAsia="Times New Roman" w:hAnsi="Calibri" w:cs="Times New Roman"/>
      <w:sz w:val="24"/>
      <w:szCs w:val="24"/>
      <w:lang w:val="ru-RU" w:eastAsia="ru-RU"/>
    </w:rPr>
  </w:style>
  <w:style w:type="character" w:styleId="Hyperlink">
    <w:name w:val="Hyperlink"/>
    <w:basedOn w:val="DefaultParagraphFont"/>
    <w:rsid w:val="00BD0ABB"/>
    <w:rPr>
      <w:color w:val="0000FF"/>
      <w:u w:val="single"/>
    </w:rPr>
  </w:style>
  <w:style w:type="paragraph" w:customStyle="1" w:styleId="tt">
    <w:name w:val="tt"/>
    <w:basedOn w:val="Normal"/>
    <w:rsid w:val="00BD0ABB"/>
    <w:pPr>
      <w:jc w:val="center"/>
    </w:pPr>
    <w:rPr>
      <w:b/>
      <w:bCs/>
      <w:szCs w:val="24"/>
      <w:lang w:val="en-US" w:eastAsia="en-US"/>
    </w:rPr>
  </w:style>
  <w:style w:type="paragraph" w:customStyle="1" w:styleId="Style6">
    <w:name w:val="Style6"/>
    <w:basedOn w:val="Normal"/>
    <w:uiPriority w:val="99"/>
    <w:rsid w:val="00BD0ABB"/>
    <w:pPr>
      <w:widowControl w:val="0"/>
      <w:autoSpaceDE w:val="0"/>
      <w:autoSpaceDN w:val="0"/>
      <w:adjustRightInd w:val="0"/>
      <w:spacing w:line="413" w:lineRule="exact"/>
      <w:ind w:firstLine="782"/>
      <w:jc w:val="both"/>
    </w:pPr>
    <w:rPr>
      <w:rFonts w:ascii="Arial" w:hAnsi="Arial" w:cs="Arial"/>
      <w:szCs w:val="24"/>
      <w:lang w:val="en-US" w:eastAsia="en-US"/>
    </w:rPr>
  </w:style>
  <w:style w:type="character" w:customStyle="1" w:styleId="FontStyle18">
    <w:name w:val="Font Style18"/>
    <w:basedOn w:val="DefaultParagraphFont"/>
    <w:uiPriority w:val="99"/>
    <w:rsid w:val="00BD0ABB"/>
    <w:rPr>
      <w:rFonts w:ascii="Arial" w:hAnsi="Arial" w:cs="Arial"/>
      <w:sz w:val="22"/>
      <w:szCs w:val="22"/>
    </w:rPr>
  </w:style>
  <w:style w:type="paragraph" w:styleId="ListParagraph">
    <w:name w:val="List Paragraph"/>
    <w:basedOn w:val="Normal"/>
    <w:uiPriority w:val="34"/>
    <w:qFormat/>
    <w:rsid w:val="00BD0ABB"/>
    <w:pPr>
      <w:spacing w:after="200" w:line="276" w:lineRule="auto"/>
      <w:ind w:left="720"/>
      <w:contextualSpacing/>
    </w:pPr>
    <w:rPr>
      <w:rFonts w:ascii="Calibri" w:eastAsia="Calibri" w:hAnsi="Calibri"/>
      <w:sz w:val="22"/>
      <w:szCs w:val="22"/>
      <w:lang w:val="ru-RU" w:eastAsia="en-US"/>
    </w:rPr>
  </w:style>
  <w:style w:type="character" w:customStyle="1" w:styleId="FontStyle31">
    <w:name w:val="Font Style31"/>
    <w:basedOn w:val="DefaultParagraphFont"/>
    <w:uiPriority w:val="99"/>
    <w:rsid w:val="00BD0ABB"/>
    <w:rPr>
      <w:rFonts w:ascii="Times New Roman" w:hAnsi="Times New Roman" w:cs="Times New Roman"/>
      <w:sz w:val="22"/>
      <w:szCs w:val="22"/>
    </w:rPr>
  </w:style>
  <w:style w:type="paragraph" w:customStyle="1" w:styleId="Style14">
    <w:name w:val="Style14"/>
    <w:basedOn w:val="Normal"/>
    <w:uiPriority w:val="99"/>
    <w:rsid w:val="00BD0ABB"/>
    <w:pPr>
      <w:widowControl w:val="0"/>
      <w:autoSpaceDE w:val="0"/>
      <w:autoSpaceDN w:val="0"/>
      <w:adjustRightInd w:val="0"/>
      <w:spacing w:line="413" w:lineRule="exact"/>
      <w:ind w:firstLine="725"/>
      <w:jc w:val="both"/>
    </w:pPr>
    <w:rPr>
      <w:szCs w:val="24"/>
      <w:lang w:val="en-US" w:eastAsia="en-US"/>
    </w:rPr>
  </w:style>
  <w:style w:type="paragraph" w:styleId="NoSpacing">
    <w:name w:val="No Spacing"/>
    <w:uiPriority w:val="1"/>
    <w:qFormat/>
    <w:rsid w:val="00BD0ABB"/>
    <w:pPr>
      <w:spacing w:after="0" w:line="240" w:lineRule="auto"/>
    </w:pPr>
    <w:rPr>
      <w:rFonts w:ascii="Calibri" w:eastAsia="Calibri" w:hAnsi="Calibri" w:cs="Times New Roman"/>
      <w:lang w:val="ru-RU"/>
    </w:rPr>
  </w:style>
  <w:style w:type="table" w:styleId="TableGrid">
    <w:name w:val="Table Grid"/>
    <w:basedOn w:val="TableNormal"/>
    <w:uiPriority w:val="59"/>
    <w:rsid w:val="00BD0AB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BD0ABB"/>
    <w:pPr>
      <w:widowControl w:val="0"/>
      <w:autoSpaceDE w:val="0"/>
      <w:autoSpaceDN w:val="0"/>
      <w:adjustRightInd w:val="0"/>
      <w:spacing w:line="418" w:lineRule="exact"/>
      <w:jc w:val="both"/>
    </w:pPr>
    <w:rPr>
      <w:szCs w:val="24"/>
      <w:lang w:val="en-US" w:eastAsia="en-US"/>
    </w:rPr>
  </w:style>
  <w:style w:type="paragraph" w:customStyle="1" w:styleId="Style10">
    <w:name w:val="Style10"/>
    <w:basedOn w:val="Normal"/>
    <w:uiPriority w:val="99"/>
    <w:rsid w:val="00BD0ABB"/>
    <w:pPr>
      <w:widowControl w:val="0"/>
      <w:autoSpaceDE w:val="0"/>
      <w:autoSpaceDN w:val="0"/>
      <w:adjustRightInd w:val="0"/>
      <w:spacing w:line="413" w:lineRule="exact"/>
      <w:ind w:firstLine="125"/>
      <w:jc w:val="both"/>
    </w:pPr>
    <w:rPr>
      <w:szCs w:val="24"/>
      <w:lang w:val="en-US" w:eastAsia="en-US"/>
    </w:rPr>
  </w:style>
  <w:style w:type="paragraph" w:customStyle="1" w:styleId="Style17">
    <w:name w:val="Style17"/>
    <w:basedOn w:val="Normal"/>
    <w:uiPriority w:val="99"/>
    <w:rsid w:val="00BD0ABB"/>
    <w:pPr>
      <w:widowControl w:val="0"/>
      <w:autoSpaceDE w:val="0"/>
      <w:autoSpaceDN w:val="0"/>
      <w:adjustRightInd w:val="0"/>
      <w:spacing w:line="413" w:lineRule="exact"/>
      <w:ind w:hanging="130"/>
    </w:pPr>
    <w:rPr>
      <w:szCs w:val="24"/>
      <w:lang w:val="en-US" w:eastAsia="en-US"/>
    </w:rPr>
  </w:style>
  <w:style w:type="paragraph" w:customStyle="1" w:styleId="cb">
    <w:name w:val="cb"/>
    <w:basedOn w:val="Normal"/>
    <w:rsid w:val="00BD0ABB"/>
    <w:pPr>
      <w:jc w:val="center"/>
    </w:pPr>
    <w:rPr>
      <w:b/>
      <w:bCs/>
      <w:szCs w:val="24"/>
      <w:lang w:val="ru-RU"/>
    </w:rPr>
  </w:style>
  <w:style w:type="paragraph" w:styleId="NormalWeb">
    <w:name w:val="Normal (Web)"/>
    <w:aliases w:val="Normal (Web) Char Char,Normal (Web) Char Char Char,Normal (Web) Char Char Char Char,Normal (Web) Char,Normal (Web) Char Char Char Char Char Char,Normal (Web) Char Char Char Char Char, Знак Знак4,Знак Знак4, webb,webb"/>
    <w:basedOn w:val="Normal"/>
    <w:link w:val="NormalWebChar1"/>
    <w:uiPriority w:val="99"/>
    <w:unhideWhenUsed/>
    <w:qFormat/>
    <w:rsid w:val="00BD0ABB"/>
    <w:pPr>
      <w:ind w:firstLine="567"/>
      <w:jc w:val="both"/>
    </w:pPr>
    <w:rPr>
      <w:szCs w:val="24"/>
      <w:lang w:val="en-US" w:eastAsia="en-US"/>
    </w:rPr>
  </w:style>
  <w:style w:type="paragraph" w:customStyle="1" w:styleId="cn">
    <w:name w:val="cn"/>
    <w:basedOn w:val="Normal"/>
    <w:rsid w:val="00BD0ABB"/>
    <w:pPr>
      <w:jc w:val="center"/>
    </w:pPr>
    <w:rPr>
      <w:szCs w:val="24"/>
      <w:lang w:val="en-US" w:eastAsia="en-US"/>
    </w:rPr>
  </w:style>
  <w:style w:type="paragraph" w:customStyle="1" w:styleId="rg">
    <w:name w:val="rg"/>
    <w:basedOn w:val="Normal"/>
    <w:rsid w:val="00BD0ABB"/>
    <w:pPr>
      <w:jc w:val="right"/>
    </w:pPr>
    <w:rPr>
      <w:szCs w:val="24"/>
      <w:lang w:val="en-US" w:eastAsia="en-US"/>
    </w:rPr>
  </w:style>
  <w:style w:type="paragraph" w:customStyle="1" w:styleId="IASBNormalnpara">
    <w:name w:val="IASB Normal npara"/>
    <w:basedOn w:val="Normal"/>
    <w:rsid w:val="00BD0ABB"/>
    <w:pPr>
      <w:spacing w:before="100"/>
      <w:ind w:left="782" w:hanging="782"/>
      <w:jc w:val="both"/>
    </w:pPr>
    <w:rPr>
      <w:sz w:val="19"/>
      <w:lang w:eastAsia="ro-RO"/>
    </w:rPr>
  </w:style>
  <w:style w:type="paragraph" w:customStyle="1" w:styleId="IASBTableArial">
    <w:name w:val="IASB Table Arial"/>
    <w:basedOn w:val="Normal"/>
    <w:rsid w:val="00BD0ABB"/>
    <w:pPr>
      <w:spacing w:before="120"/>
    </w:pPr>
    <w:rPr>
      <w:rFonts w:ascii="Arial" w:hAnsi="Arial"/>
      <w:sz w:val="18"/>
      <w:lang w:eastAsia="ro-RO"/>
    </w:rPr>
  </w:style>
  <w:style w:type="paragraph" w:customStyle="1" w:styleId="forma">
    <w:name w:val="forma"/>
    <w:basedOn w:val="Normal"/>
    <w:uiPriority w:val="99"/>
    <w:rsid w:val="00BD0ABB"/>
    <w:pPr>
      <w:ind w:firstLine="567"/>
      <w:jc w:val="both"/>
    </w:pPr>
    <w:rPr>
      <w:rFonts w:ascii="Arial" w:hAnsi="Arial" w:cs="Arial"/>
      <w:sz w:val="20"/>
      <w:lang w:val="en-US" w:eastAsia="en-US"/>
    </w:rPr>
  </w:style>
  <w:style w:type="character" w:styleId="FootnoteReference">
    <w:name w:val="footnote reference"/>
    <w:basedOn w:val="DefaultParagraphFont"/>
    <w:rsid w:val="00BD0ABB"/>
    <w:rPr>
      <w:vertAlign w:val="superscript"/>
    </w:rPr>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 Знак Знак4 Char"/>
    <w:basedOn w:val="DefaultParagraphFont"/>
    <w:link w:val="NormalWeb"/>
    <w:uiPriority w:val="99"/>
    <w:rsid w:val="00BD0ABB"/>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BD0ABB"/>
    <w:pPr>
      <w:tabs>
        <w:tab w:val="center" w:pos="4844"/>
        <w:tab w:val="right" w:pos="9689"/>
      </w:tabs>
    </w:pPr>
  </w:style>
  <w:style w:type="character" w:customStyle="1" w:styleId="HeaderChar">
    <w:name w:val="Header Char"/>
    <w:basedOn w:val="DefaultParagraphFont"/>
    <w:link w:val="Header"/>
    <w:uiPriority w:val="99"/>
    <w:semiHidden/>
    <w:rsid w:val="00BD0ABB"/>
    <w:rPr>
      <w:rFonts w:ascii="Times New Roman" w:eastAsia="Times New Roman" w:hAnsi="Times New Roman" w:cs="Times New Roman"/>
      <w:sz w:val="24"/>
      <w:szCs w:val="20"/>
      <w:lang w:val="ro-RO" w:eastAsia="ru-RU"/>
    </w:rPr>
  </w:style>
  <w:style w:type="paragraph" w:styleId="Footer">
    <w:name w:val="footer"/>
    <w:basedOn w:val="Normal"/>
    <w:link w:val="FooterChar"/>
    <w:uiPriority w:val="99"/>
    <w:unhideWhenUsed/>
    <w:rsid w:val="00BD0ABB"/>
    <w:pPr>
      <w:tabs>
        <w:tab w:val="center" w:pos="4844"/>
        <w:tab w:val="right" w:pos="9689"/>
      </w:tabs>
    </w:pPr>
  </w:style>
  <w:style w:type="character" w:customStyle="1" w:styleId="FooterChar">
    <w:name w:val="Footer Char"/>
    <w:basedOn w:val="DefaultParagraphFont"/>
    <w:link w:val="Footer"/>
    <w:uiPriority w:val="99"/>
    <w:rsid w:val="00BD0ABB"/>
    <w:rPr>
      <w:rFonts w:ascii="Times New Roman" w:eastAsia="Times New Roman" w:hAnsi="Times New Roman" w:cs="Times New Roman"/>
      <w:sz w:val="24"/>
      <w:szCs w:val="20"/>
      <w:lang w:val="ro-RO" w:eastAsia="ru-RU"/>
    </w:rPr>
  </w:style>
  <w:style w:type="character" w:customStyle="1" w:styleId="FontStyle19">
    <w:name w:val="Font Style19"/>
    <w:basedOn w:val="DefaultParagraphFont"/>
    <w:uiPriority w:val="99"/>
    <w:rsid w:val="00BD0ABB"/>
    <w:rPr>
      <w:rFonts w:ascii="Times New Roman" w:hAnsi="Times New Roman" w:cs="Times New Roman"/>
      <w:spacing w:val="10"/>
      <w:sz w:val="18"/>
      <w:szCs w:val="18"/>
    </w:rPr>
  </w:style>
  <w:style w:type="paragraph" w:styleId="FootnoteText">
    <w:name w:val="footnote text"/>
    <w:basedOn w:val="Normal"/>
    <w:link w:val="FootnoteTextChar"/>
    <w:uiPriority w:val="99"/>
    <w:semiHidden/>
    <w:unhideWhenUsed/>
    <w:rsid w:val="00BD0ABB"/>
    <w:rPr>
      <w:sz w:val="20"/>
    </w:rPr>
  </w:style>
  <w:style w:type="character" w:customStyle="1" w:styleId="FootnoteTextChar">
    <w:name w:val="Footnote Text Char"/>
    <w:basedOn w:val="DefaultParagraphFont"/>
    <w:link w:val="FootnoteText"/>
    <w:uiPriority w:val="99"/>
    <w:semiHidden/>
    <w:rsid w:val="00BD0ABB"/>
    <w:rPr>
      <w:rFonts w:ascii="Times New Roman" w:eastAsia="Times New Roman" w:hAnsi="Times New Roman" w:cs="Times New Roman"/>
      <w:sz w:val="20"/>
      <w:szCs w:val="20"/>
      <w:lang w:val="ro-RO" w:eastAsia="ru-RU"/>
    </w:rPr>
  </w:style>
  <w:style w:type="paragraph" w:customStyle="1" w:styleId="cut">
    <w:name w:val="cut"/>
    <w:basedOn w:val="Normal"/>
    <w:uiPriority w:val="99"/>
    <w:rsid w:val="00BD0ABB"/>
    <w:pPr>
      <w:ind w:left="567" w:right="567" w:firstLine="567"/>
      <w:jc w:val="center"/>
    </w:pPr>
    <w:rPr>
      <w:rFonts w:eastAsiaTheme="minorEastAsia"/>
      <w:b/>
      <w:bCs/>
      <w:sz w:val="20"/>
      <w:lang w:val="en-US" w:eastAsia="en-US"/>
    </w:rPr>
  </w:style>
  <w:style w:type="character" w:customStyle="1" w:styleId="FontStyle65">
    <w:name w:val="Font Style65"/>
    <w:basedOn w:val="DefaultParagraphFont"/>
    <w:uiPriority w:val="99"/>
    <w:rsid w:val="00BD0AB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D0ABB"/>
    <w:rPr>
      <w:rFonts w:ascii="Tahoma" w:hAnsi="Tahoma" w:cs="Tahoma"/>
      <w:sz w:val="16"/>
      <w:szCs w:val="16"/>
    </w:rPr>
  </w:style>
  <w:style w:type="character" w:customStyle="1" w:styleId="BalloonTextChar">
    <w:name w:val="Balloon Text Char"/>
    <w:basedOn w:val="DefaultParagraphFont"/>
    <w:link w:val="BalloonText"/>
    <w:uiPriority w:val="99"/>
    <w:semiHidden/>
    <w:rsid w:val="00BD0ABB"/>
    <w:rPr>
      <w:rFonts w:ascii="Tahoma" w:eastAsia="Times New Roman" w:hAnsi="Tahoma" w:cs="Tahoma"/>
      <w:sz w:val="16"/>
      <w:szCs w:val="16"/>
      <w:lang w:val="ro-RO" w:eastAsia="ru-RU"/>
    </w:rPr>
  </w:style>
  <w:style w:type="paragraph" w:customStyle="1" w:styleId="cp">
    <w:name w:val="cp"/>
    <w:basedOn w:val="Normal"/>
    <w:rsid w:val="00BD0ABB"/>
    <w:pPr>
      <w:jc w:val="center"/>
    </w:pPr>
    <w:rPr>
      <w:b/>
      <w:bCs/>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BB"/>
    <w:pPr>
      <w:spacing w:after="0" w:line="240" w:lineRule="auto"/>
    </w:pPr>
    <w:rPr>
      <w:rFonts w:ascii="Times New Roman" w:eastAsia="Times New Roman" w:hAnsi="Times New Roman" w:cs="Times New Roman"/>
      <w:sz w:val="24"/>
      <w:szCs w:val="20"/>
      <w:lang w:val="ro-RO" w:eastAsia="ru-RU"/>
    </w:rPr>
  </w:style>
  <w:style w:type="paragraph" w:styleId="Heading1">
    <w:name w:val="heading 1"/>
    <w:basedOn w:val="Normal"/>
    <w:next w:val="Normal"/>
    <w:link w:val="Heading1Char"/>
    <w:uiPriority w:val="9"/>
    <w:qFormat/>
    <w:rsid w:val="00BD0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0AB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BD0ABB"/>
    <w:pPr>
      <w:keepNext/>
      <w:jc w:val="center"/>
      <w:outlineLvl w:val="3"/>
    </w:pPr>
    <w:rPr>
      <w:b/>
      <w:sz w:val="28"/>
      <w:lang w:val="en-US"/>
    </w:rPr>
  </w:style>
  <w:style w:type="paragraph" w:styleId="Heading7">
    <w:name w:val="heading 7"/>
    <w:basedOn w:val="Normal"/>
    <w:next w:val="Normal"/>
    <w:link w:val="Heading7Char"/>
    <w:uiPriority w:val="9"/>
    <w:unhideWhenUsed/>
    <w:qFormat/>
    <w:rsid w:val="00BD0ABB"/>
    <w:pPr>
      <w:spacing w:before="240" w:after="60"/>
      <w:outlineLvl w:val="6"/>
    </w:pPr>
    <w:rPr>
      <w:rFonts w:ascii="Calibri" w:hAnsi="Calibri"/>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ABB"/>
    <w:rPr>
      <w:rFonts w:asciiTheme="majorHAnsi" w:eastAsiaTheme="majorEastAsia" w:hAnsiTheme="majorHAnsi" w:cstheme="majorBidi"/>
      <w:b/>
      <w:bCs/>
      <w:color w:val="365F91" w:themeColor="accent1" w:themeShade="BF"/>
      <w:sz w:val="28"/>
      <w:szCs w:val="28"/>
      <w:lang w:val="ro-RO" w:eastAsia="ru-RU"/>
    </w:rPr>
  </w:style>
  <w:style w:type="character" w:customStyle="1" w:styleId="Heading2Char">
    <w:name w:val="Heading 2 Char"/>
    <w:basedOn w:val="DefaultParagraphFont"/>
    <w:link w:val="Heading2"/>
    <w:rsid w:val="00BD0ABB"/>
    <w:rPr>
      <w:rFonts w:ascii="Arial" w:eastAsia="Times New Roman" w:hAnsi="Arial" w:cs="Arial"/>
      <w:b/>
      <w:bCs/>
      <w:i/>
      <w:iCs/>
      <w:sz w:val="28"/>
      <w:szCs w:val="28"/>
      <w:lang w:val="ro-RO" w:eastAsia="ru-RU"/>
    </w:rPr>
  </w:style>
  <w:style w:type="character" w:customStyle="1" w:styleId="Heading4Char">
    <w:name w:val="Heading 4 Char"/>
    <w:basedOn w:val="DefaultParagraphFont"/>
    <w:link w:val="Heading4"/>
    <w:rsid w:val="00BD0ABB"/>
    <w:rPr>
      <w:rFonts w:ascii="Times New Roman" w:eastAsia="Times New Roman" w:hAnsi="Times New Roman" w:cs="Times New Roman"/>
      <w:b/>
      <w:sz w:val="28"/>
      <w:szCs w:val="20"/>
      <w:lang w:val="en-US" w:eastAsia="ru-RU"/>
    </w:rPr>
  </w:style>
  <w:style w:type="character" w:customStyle="1" w:styleId="Heading7Char">
    <w:name w:val="Heading 7 Char"/>
    <w:basedOn w:val="DefaultParagraphFont"/>
    <w:link w:val="Heading7"/>
    <w:uiPriority w:val="9"/>
    <w:rsid w:val="00BD0ABB"/>
    <w:rPr>
      <w:rFonts w:ascii="Calibri" w:eastAsia="Times New Roman" w:hAnsi="Calibri" w:cs="Times New Roman"/>
      <w:sz w:val="24"/>
      <w:szCs w:val="24"/>
      <w:lang w:val="ru-RU" w:eastAsia="ru-RU"/>
    </w:rPr>
  </w:style>
  <w:style w:type="character" w:styleId="Hyperlink">
    <w:name w:val="Hyperlink"/>
    <w:basedOn w:val="DefaultParagraphFont"/>
    <w:rsid w:val="00BD0ABB"/>
    <w:rPr>
      <w:color w:val="0000FF"/>
      <w:u w:val="single"/>
    </w:rPr>
  </w:style>
  <w:style w:type="paragraph" w:customStyle="1" w:styleId="tt">
    <w:name w:val="tt"/>
    <w:basedOn w:val="Normal"/>
    <w:rsid w:val="00BD0ABB"/>
    <w:pPr>
      <w:jc w:val="center"/>
    </w:pPr>
    <w:rPr>
      <w:b/>
      <w:bCs/>
      <w:szCs w:val="24"/>
      <w:lang w:val="en-US" w:eastAsia="en-US"/>
    </w:rPr>
  </w:style>
  <w:style w:type="paragraph" w:customStyle="1" w:styleId="Style6">
    <w:name w:val="Style6"/>
    <w:basedOn w:val="Normal"/>
    <w:uiPriority w:val="99"/>
    <w:rsid w:val="00BD0ABB"/>
    <w:pPr>
      <w:widowControl w:val="0"/>
      <w:autoSpaceDE w:val="0"/>
      <w:autoSpaceDN w:val="0"/>
      <w:adjustRightInd w:val="0"/>
      <w:spacing w:line="413" w:lineRule="exact"/>
      <w:ind w:firstLine="782"/>
      <w:jc w:val="both"/>
    </w:pPr>
    <w:rPr>
      <w:rFonts w:ascii="Arial" w:hAnsi="Arial" w:cs="Arial"/>
      <w:szCs w:val="24"/>
      <w:lang w:val="en-US" w:eastAsia="en-US"/>
    </w:rPr>
  </w:style>
  <w:style w:type="character" w:customStyle="1" w:styleId="FontStyle18">
    <w:name w:val="Font Style18"/>
    <w:basedOn w:val="DefaultParagraphFont"/>
    <w:uiPriority w:val="99"/>
    <w:rsid w:val="00BD0ABB"/>
    <w:rPr>
      <w:rFonts w:ascii="Arial" w:hAnsi="Arial" w:cs="Arial"/>
      <w:sz w:val="22"/>
      <w:szCs w:val="22"/>
    </w:rPr>
  </w:style>
  <w:style w:type="paragraph" w:styleId="ListParagraph">
    <w:name w:val="List Paragraph"/>
    <w:basedOn w:val="Normal"/>
    <w:uiPriority w:val="34"/>
    <w:qFormat/>
    <w:rsid w:val="00BD0ABB"/>
    <w:pPr>
      <w:spacing w:after="200" w:line="276" w:lineRule="auto"/>
      <w:ind w:left="720"/>
      <w:contextualSpacing/>
    </w:pPr>
    <w:rPr>
      <w:rFonts w:ascii="Calibri" w:eastAsia="Calibri" w:hAnsi="Calibri"/>
      <w:sz w:val="22"/>
      <w:szCs w:val="22"/>
      <w:lang w:val="ru-RU" w:eastAsia="en-US"/>
    </w:rPr>
  </w:style>
  <w:style w:type="character" w:customStyle="1" w:styleId="FontStyle31">
    <w:name w:val="Font Style31"/>
    <w:basedOn w:val="DefaultParagraphFont"/>
    <w:uiPriority w:val="99"/>
    <w:rsid w:val="00BD0ABB"/>
    <w:rPr>
      <w:rFonts w:ascii="Times New Roman" w:hAnsi="Times New Roman" w:cs="Times New Roman"/>
      <w:sz w:val="22"/>
      <w:szCs w:val="22"/>
    </w:rPr>
  </w:style>
  <w:style w:type="paragraph" w:customStyle="1" w:styleId="Style14">
    <w:name w:val="Style14"/>
    <w:basedOn w:val="Normal"/>
    <w:uiPriority w:val="99"/>
    <w:rsid w:val="00BD0ABB"/>
    <w:pPr>
      <w:widowControl w:val="0"/>
      <w:autoSpaceDE w:val="0"/>
      <w:autoSpaceDN w:val="0"/>
      <w:adjustRightInd w:val="0"/>
      <w:spacing w:line="413" w:lineRule="exact"/>
      <w:ind w:firstLine="725"/>
      <w:jc w:val="both"/>
    </w:pPr>
    <w:rPr>
      <w:szCs w:val="24"/>
      <w:lang w:val="en-US" w:eastAsia="en-US"/>
    </w:rPr>
  </w:style>
  <w:style w:type="paragraph" w:styleId="NoSpacing">
    <w:name w:val="No Spacing"/>
    <w:uiPriority w:val="1"/>
    <w:qFormat/>
    <w:rsid w:val="00BD0ABB"/>
    <w:pPr>
      <w:spacing w:after="0" w:line="240" w:lineRule="auto"/>
    </w:pPr>
    <w:rPr>
      <w:rFonts w:ascii="Calibri" w:eastAsia="Calibri" w:hAnsi="Calibri" w:cs="Times New Roman"/>
      <w:lang w:val="ru-RU"/>
    </w:rPr>
  </w:style>
  <w:style w:type="table" w:styleId="TableGrid">
    <w:name w:val="Table Grid"/>
    <w:basedOn w:val="TableNormal"/>
    <w:uiPriority w:val="59"/>
    <w:rsid w:val="00BD0AB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BD0ABB"/>
    <w:pPr>
      <w:widowControl w:val="0"/>
      <w:autoSpaceDE w:val="0"/>
      <w:autoSpaceDN w:val="0"/>
      <w:adjustRightInd w:val="0"/>
      <w:spacing w:line="418" w:lineRule="exact"/>
      <w:jc w:val="both"/>
    </w:pPr>
    <w:rPr>
      <w:szCs w:val="24"/>
      <w:lang w:val="en-US" w:eastAsia="en-US"/>
    </w:rPr>
  </w:style>
  <w:style w:type="paragraph" w:customStyle="1" w:styleId="Style10">
    <w:name w:val="Style10"/>
    <w:basedOn w:val="Normal"/>
    <w:uiPriority w:val="99"/>
    <w:rsid w:val="00BD0ABB"/>
    <w:pPr>
      <w:widowControl w:val="0"/>
      <w:autoSpaceDE w:val="0"/>
      <w:autoSpaceDN w:val="0"/>
      <w:adjustRightInd w:val="0"/>
      <w:spacing w:line="413" w:lineRule="exact"/>
      <w:ind w:firstLine="125"/>
      <w:jc w:val="both"/>
    </w:pPr>
    <w:rPr>
      <w:szCs w:val="24"/>
      <w:lang w:val="en-US" w:eastAsia="en-US"/>
    </w:rPr>
  </w:style>
  <w:style w:type="paragraph" w:customStyle="1" w:styleId="Style17">
    <w:name w:val="Style17"/>
    <w:basedOn w:val="Normal"/>
    <w:uiPriority w:val="99"/>
    <w:rsid w:val="00BD0ABB"/>
    <w:pPr>
      <w:widowControl w:val="0"/>
      <w:autoSpaceDE w:val="0"/>
      <w:autoSpaceDN w:val="0"/>
      <w:adjustRightInd w:val="0"/>
      <w:spacing w:line="413" w:lineRule="exact"/>
      <w:ind w:hanging="130"/>
    </w:pPr>
    <w:rPr>
      <w:szCs w:val="24"/>
      <w:lang w:val="en-US" w:eastAsia="en-US"/>
    </w:rPr>
  </w:style>
  <w:style w:type="paragraph" w:customStyle="1" w:styleId="cb">
    <w:name w:val="cb"/>
    <w:basedOn w:val="Normal"/>
    <w:rsid w:val="00BD0ABB"/>
    <w:pPr>
      <w:jc w:val="center"/>
    </w:pPr>
    <w:rPr>
      <w:b/>
      <w:bCs/>
      <w:szCs w:val="24"/>
      <w:lang w:val="ru-RU"/>
    </w:rPr>
  </w:style>
  <w:style w:type="paragraph" w:styleId="NormalWeb">
    <w:name w:val="Normal (Web)"/>
    <w:aliases w:val="Normal (Web) Char Char,Normal (Web) Char Char Char,Normal (Web) Char Char Char Char,Normal (Web) Char,Normal (Web) Char Char Char Char Char Char,Normal (Web) Char Char Char Char Char, Знак Знак4,Знак Знак4, webb,webb"/>
    <w:basedOn w:val="Normal"/>
    <w:link w:val="NormalWebChar1"/>
    <w:uiPriority w:val="99"/>
    <w:unhideWhenUsed/>
    <w:qFormat/>
    <w:rsid w:val="00BD0ABB"/>
    <w:pPr>
      <w:ind w:firstLine="567"/>
      <w:jc w:val="both"/>
    </w:pPr>
    <w:rPr>
      <w:szCs w:val="24"/>
      <w:lang w:val="en-US" w:eastAsia="en-US"/>
    </w:rPr>
  </w:style>
  <w:style w:type="paragraph" w:customStyle="1" w:styleId="cn">
    <w:name w:val="cn"/>
    <w:basedOn w:val="Normal"/>
    <w:rsid w:val="00BD0ABB"/>
    <w:pPr>
      <w:jc w:val="center"/>
    </w:pPr>
    <w:rPr>
      <w:szCs w:val="24"/>
      <w:lang w:val="en-US" w:eastAsia="en-US"/>
    </w:rPr>
  </w:style>
  <w:style w:type="paragraph" w:customStyle="1" w:styleId="rg">
    <w:name w:val="rg"/>
    <w:basedOn w:val="Normal"/>
    <w:rsid w:val="00BD0ABB"/>
    <w:pPr>
      <w:jc w:val="right"/>
    </w:pPr>
    <w:rPr>
      <w:szCs w:val="24"/>
      <w:lang w:val="en-US" w:eastAsia="en-US"/>
    </w:rPr>
  </w:style>
  <w:style w:type="paragraph" w:customStyle="1" w:styleId="IASBNormalnpara">
    <w:name w:val="IASB Normal npara"/>
    <w:basedOn w:val="Normal"/>
    <w:rsid w:val="00BD0ABB"/>
    <w:pPr>
      <w:spacing w:before="100"/>
      <w:ind w:left="782" w:hanging="782"/>
      <w:jc w:val="both"/>
    </w:pPr>
    <w:rPr>
      <w:sz w:val="19"/>
      <w:lang w:eastAsia="ro-RO"/>
    </w:rPr>
  </w:style>
  <w:style w:type="paragraph" w:customStyle="1" w:styleId="IASBTableArial">
    <w:name w:val="IASB Table Arial"/>
    <w:basedOn w:val="Normal"/>
    <w:rsid w:val="00BD0ABB"/>
    <w:pPr>
      <w:spacing w:before="120"/>
    </w:pPr>
    <w:rPr>
      <w:rFonts w:ascii="Arial" w:hAnsi="Arial"/>
      <w:sz w:val="18"/>
      <w:lang w:eastAsia="ro-RO"/>
    </w:rPr>
  </w:style>
  <w:style w:type="paragraph" w:customStyle="1" w:styleId="forma">
    <w:name w:val="forma"/>
    <w:basedOn w:val="Normal"/>
    <w:uiPriority w:val="99"/>
    <w:rsid w:val="00BD0ABB"/>
    <w:pPr>
      <w:ind w:firstLine="567"/>
      <w:jc w:val="both"/>
    </w:pPr>
    <w:rPr>
      <w:rFonts w:ascii="Arial" w:hAnsi="Arial" w:cs="Arial"/>
      <w:sz w:val="20"/>
      <w:lang w:val="en-US" w:eastAsia="en-US"/>
    </w:rPr>
  </w:style>
  <w:style w:type="character" w:styleId="FootnoteReference">
    <w:name w:val="footnote reference"/>
    <w:basedOn w:val="DefaultParagraphFont"/>
    <w:rsid w:val="00BD0ABB"/>
    <w:rPr>
      <w:vertAlign w:val="superscript"/>
    </w:rPr>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 Знак Знак4 Char"/>
    <w:basedOn w:val="DefaultParagraphFont"/>
    <w:link w:val="NormalWeb"/>
    <w:uiPriority w:val="99"/>
    <w:rsid w:val="00BD0ABB"/>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BD0ABB"/>
    <w:pPr>
      <w:tabs>
        <w:tab w:val="center" w:pos="4844"/>
        <w:tab w:val="right" w:pos="9689"/>
      </w:tabs>
    </w:pPr>
  </w:style>
  <w:style w:type="character" w:customStyle="1" w:styleId="HeaderChar">
    <w:name w:val="Header Char"/>
    <w:basedOn w:val="DefaultParagraphFont"/>
    <w:link w:val="Header"/>
    <w:uiPriority w:val="99"/>
    <w:semiHidden/>
    <w:rsid w:val="00BD0ABB"/>
    <w:rPr>
      <w:rFonts w:ascii="Times New Roman" w:eastAsia="Times New Roman" w:hAnsi="Times New Roman" w:cs="Times New Roman"/>
      <w:sz w:val="24"/>
      <w:szCs w:val="20"/>
      <w:lang w:val="ro-RO" w:eastAsia="ru-RU"/>
    </w:rPr>
  </w:style>
  <w:style w:type="paragraph" w:styleId="Footer">
    <w:name w:val="footer"/>
    <w:basedOn w:val="Normal"/>
    <w:link w:val="FooterChar"/>
    <w:uiPriority w:val="99"/>
    <w:unhideWhenUsed/>
    <w:rsid w:val="00BD0ABB"/>
    <w:pPr>
      <w:tabs>
        <w:tab w:val="center" w:pos="4844"/>
        <w:tab w:val="right" w:pos="9689"/>
      </w:tabs>
    </w:pPr>
  </w:style>
  <w:style w:type="character" w:customStyle="1" w:styleId="FooterChar">
    <w:name w:val="Footer Char"/>
    <w:basedOn w:val="DefaultParagraphFont"/>
    <w:link w:val="Footer"/>
    <w:uiPriority w:val="99"/>
    <w:rsid w:val="00BD0ABB"/>
    <w:rPr>
      <w:rFonts w:ascii="Times New Roman" w:eastAsia="Times New Roman" w:hAnsi="Times New Roman" w:cs="Times New Roman"/>
      <w:sz w:val="24"/>
      <w:szCs w:val="20"/>
      <w:lang w:val="ro-RO" w:eastAsia="ru-RU"/>
    </w:rPr>
  </w:style>
  <w:style w:type="character" w:customStyle="1" w:styleId="FontStyle19">
    <w:name w:val="Font Style19"/>
    <w:basedOn w:val="DefaultParagraphFont"/>
    <w:uiPriority w:val="99"/>
    <w:rsid w:val="00BD0ABB"/>
    <w:rPr>
      <w:rFonts w:ascii="Times New Roman" w:hAnsi="Times New Roman" w:cs="Times New Roman"/>
      <w:spacing w:val="10"/>
      <w:sz w:val="18"/>
      <w:szCs w:val="18"/>
    </w:rPr>
  </w:style>
  <w:style w:type="paragraph" w:styleId="FootnoteText">
    <w:name w:val="footnote text"/>
    <w:basedOn w:val="Normal"/>
    <w:link w:val="FootnoteTextChar"/>
    <w:uiPriority w:val="99"/>
    <w:semiHidden/>
    <w:unhideWhenUsed/>
    <w:rsid w:val="00BD0ABB"/>
    <w:rPr>
      <w:sz w:val="20"/>
    </w:rPr>
  </w:style>
  <w:style w:type="character" w:customStyle="1" w:styleId="FootnoteTextChar">
    <w:name w:val="Footnote Text Char"/>
    <w:basedOn w:val="DefaultParagraphFont"/>
    <w:link w:val="FootnoteText"/>
    <w:uiPriority w:val="99"/>
    <w:semiHidden/>
    <w:rsid w:val="00BD0ABB"/>
    <w:rPr>
      <w:rFonts w:ascii="Times New Roman" w:eastAsia="Times New Roman" w:hAnsi="Times New Roman" w:cs="Times New Roman"/>
      <w:sz w:val="20"/>
      <w:szCs w:val="20"/>
      <w:lang w:val="ro-RO" w:eastAsia="ru-RU"/>
    </w:rPr>
  </w:style>
  <w:style w:type="paragraph" w:customStyle="1" w:styleId="cut">
    <w:name w:val="cut"/>
    <w:basedOn w:val="Normal"/>
    <w:uiPriority w:val="99"/>
    <w:rsid w:val="00BD0ABB"/>
    <w:pPr>
      <w:ind w:left="567" w:right="567" w:firstLine="567"/>
      <w:jc w:val="center"/>
    </w:pPr>
    <w:rPr>
      <w:rFonts w:eastAsiaTheme="minorEastAsia"/>
      <w:b/>
      <w:bCs/>
      <w:sz w:val="20"/>
      <w:lang w:val="en-US" w:eastAsia="en-US"/>
    </w:rPr>
  </w:style>
  <w:style w:type="character" w:customStyle="1" w:styleId="FontStyle65">
    <w:name w:val="Font Style65"/>
    <w:basedOn w:val="DefaultParagraphFont"/>
    <w:uiPriority w:val="99"/>
    <w:rsid w:val="00BD0AB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D0ABB"/>
    <w:rPr>
      <w:rFonts w:ascii="Tahoma" w:hAnsi="Tahoma" w:cs="Tahoma"/>
      <w:sz w:val="16"/>
      <w:szCs w:val="16"/>
    </w:rPr>
  </w:style>
  <w:style w:type="character" w:customStyle="1" w:styleId="BalloonTextChar">
    <w:name w:val="Balloon Text Char"/>
    <w:basedOn w:val="DefaultParagraphFont"/>
    <w:link w:val="BalloonText"/>
    <w:uiPriority w:val="99"/>
    <w:semiHidden/>
    <w:rsid w:val="00BD0ABB"/>
    <w:rPr>
      <w:rFonts w:ascii="Tahoma" w:eastAsia="Times New Roman" w:hAnsi="Tahoma" w:cs="Tahoma"/>
      <w:sz w:val="16"/>
      <w:szCs w:val="16"/>
      <w:lang w:val="ro-RO" w:eastAsia="ru-RU"/>
    </w:rPr>
  </w:style>
  <w:style w:type="paragraph" w:customStyle="1" w:styleId="cp">
    <w:name w:val="cp"/>
    <w:basedOn w:val="Normal"/>
    <w:rsid w:val="00BD0ABB"/>
    <w:pPr>
      <w:jc w:val="center"/>
    </w:pPr>
    <w:rPr>
      <w:b/>
      <w:bCs/>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2018-05-28T11:48:00Z</dcterms:created>
  <dcterms:modified xsi:type="dcterms:W3CDTF">2018-05-28T11:50:00Z</dcterms:modified>
</cp:coreProperties>
</file>